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ptos" w:cs="Aptos" w:eastAsia="Aptos" w:hAnsi="Aptos"/>
          <w:sz w:val="22"/>
          <w:szCs w:val="22"/>
        </w:rPr>
        <w:t xml:space="preserve"/>
      </w:r>
    </w:p>
    <w:p>
      <w:pPr>
        <w:spacing w:after="200" w:before="800"/>
      </w:pPr>
      <w:r>
        <w:rPr>
          <w:rFonts w:ascii="Aptos" w:cs="Aptos" w:eastAsia="Aptos" w:hAnsi="Aptos"/>
          <w:color w:val="606060"/>
          <w:sz w:val="28"/>
          <w:szCs w:val="28"/>
        </w:rPr>
        <w:t xml:space="preserve">Proposta di Investimento</w:t>
      </w:r>
    </w:p>
    <w:p>
      <w:pPr>
        <w:spacing w:after="400" w:before="0"/>
      </w:pPr>
      <w:r>
        <w:rPr>
          <w:rFonts w:ascii="Aptos" w:cs="Aptos" w:eastAsia="Aptos" w:hAnsi="Aptos"/>
          <w:b/>
          <w:bCs/>
          <w:color w:val="2B8C96"/>
          <w:sz w:val="56"/>
          <w:szCs w:val="56"/>
        </w:rPr>
        <w:t xml:space="preserve">Angelini Academy</w:t>
      </w:r>
    </w:p>
    <w:p>
      <w:pPr>
        <w:spacing w:after="240" w:before="0"/>
      </w:pPr>
      <w:r>
        <w:rPr>
          <w:rFonts w:ascii="Aptos" w:cs="Aptos" w:eastAsia="Aptos" w:hAnsi="Aptos"/>
          <w:color w:val="1A1A1A"/>
          <w:sz w:val="28"/>
          <w:szCs w:val="28"/>
        </w:rPr>
        <w:t xml:space="preserve">Ecosistema digitale integrato per il nuovo posizionamento internazionale</w:t>
      </w:r>
    </w:p>
    <w:p>
      <w:pPr>
        <w:spacing w:after="60" w:before="0"/>
      </w:pPr>
      <w:r>
        <w:rPr>
          <w:rFonts w:ascii="Aptos" w:cs="Aptos" w:eastAsia="Aptos" w:hAnsi="Aptos"/>
          <w:i/>
          <w:iCs/>
          <w:color w:val="606060"/>
          <w:sz w:val="22"/>
          <w:szCs w:val="22"/>
        </w:rPr>
        <w:t xml:space="preserve">Sito web, contenuti editoriali, intelligenza artificiale, rete accademica e finanza agevolata</w:t>
      </w:r>
    </w:p>
    <w:p>
      <w:pPr>
        <w:spacing w:after="800" w:before="0"/>
      </w:pPr>
      <w:r>
        <w:rPr>
          <w:rFonts w:ascii="Aptos" w:cs="Aptos" w:eastAsia="Aptos" w:hAnsi="Aptos"/>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8C96" w:sz="4"/>
              <w:left w:val="single" w:color="2B8C96" w:sz="4"/>
              <w:bottom w:val="single" w:color="2B8C96" w:sz="4"/>
              <w:right w:val="single" w:color="2B8C96" w:sz="4"/>
            </w:tcBorders>
            <w:shd w:fill="E8F4F6" w:val="clear"/>
            <w:tcMar>
              <w:top w:type="dxa" w:w="120"/>
              <w:left w:type="dxa" w:w="200"/>
              <w:bottom w:type="dxa" w:w="120"/>
              <w:right w:type="dxa" w:w="200"/>
            </w:tcMar>
          </w:tcPr>
          <w:p>
            <w:pPr>
              <w:spacing w:after="100" w:before="0"/>
            </w:pPr>
            <w:r>
              <w:rPr>
                <w:rFonts w:ascii="Aptos" w:cs="Aptos" w:eastAsia="Aptos" w:hAnsi="Aptos"/>
                <w:b/>
                <w:bCs/>
                <w:color w:val="2B8C96"/>
                <w:sz w:val="22"/>
                <w:szCs w:val="22"/>
              </w:rPr>
              <w:t xml:space="preserve">In sintesi</w:t>
            </w:r>
          </w:p>
          <w:p>
            <w:pPr>
              <w:spacing w:after="40" w:before="40"/>
            </w:pPr>
            <w:r>
              <w:rPr>
                <w:rFonts w:ascii="Aptos" w:cs="Aptos" w:eastAsia="Aptos" w:hAnsi="Aptos"/>
                <w:color w:val="1A1A1A"/>
                <w:sz w:val="22"/>
                <w:szCs w:val="22"/>
              </w:rPr>
              <w:t xml:space="preserve">Trasformiamo il sito attuale in un ecosistema digitale integrato che fa convergere i canali della vostra Academy, valorizza il vostro patrimonio Engaged Research e introduce capability di intelligenza artificiale verticali nei contenuti.</w:t>
            </w:r>
          </w:p>
          <w:p>
            <w:pPr>
              <w:spacing w:after="40" w:before="40"/>
            </w:pPr>
            <w:r>
              <w:rPr>
                <w:rFonts w:ascii="Aptos" w:cs="Aptos" w:eastAsia="Aptos" w:hAnsi="Aptos"/>
                <w:color w:val="1A1A1A"/>
                <w:sz w:val="22"/>
                <w:szCs w:val="22"/>
              </w:rPr>
              <w:t xml:space="preserve">Un’architettura modulare: dal riallineamento del sito attuale per il pre-lancio, al sito nuovo completo, fino alla community alumni e ricercatori, con uno strato editoriale continuativo che alimenta nel tempo l’autorevolezza del brand.</w:t>
            </w:r>
          </w:p>
          <w:p>
            <w:pPr>
              <w:spacing w:after="40" w:before="40"/>
            </w:pPr>
            <w:r>
              <w:rPr>
                <w:rFonts w:ascii="Aptos" w:cs="Aptos" w:eastAsia="Aptos" w:hAnsi="Aptos"/>
                <w:color w:val="1A1A1A"/>
                <w:sz w:val="22"/>
                <w:szCs w:val="22"/>
              </w:rPr>
              <w:t xml:space="preserve">Investimento dimensionato sulla scelta di moduli e add-on, con una leva di finanza agevolata europea che può abbattere il budget netto sul medio-lungo periodo.</w:t>
            </w:r>
          </w:p>
        </w:tc>
      </w:tr>
    </w:tbl>
    <w:p>
      <w:pPr>
        <w:spacing w:after="400" w:before="0"/>
      </w:pPr>
      <w:r>
        <w:rPr>
          <w:rFonts w:ascii="Aptos" w:cs="Aptos" w:eastAsia="Aptos" w:hAnsi="Aptos"/>
          <w:sz w:val="22"/>
          <w:szCs w:val="22"/>
        </w:rPr>
        <w:t xml:space="preserve"/>
      </w:r>
    </w:p>
    <w:p>
      <w:pPr>
        <w:spacing w:after="60" w:before="0"/>
      </w:pPr>
      <w:r>
        <w:rPr>
          <w:rFonts w:ascii="Aptos" w:cs="Aptos" w:eastAsia="Aptos" w:hAnsi="Aptos"/>
          <w:color w:val="1A1A1A"/>
          <w:sz w:val="22"/>
          <w:szCs w:val="22"/>
        </w:rPr>
        <w:t xml:space="preserve">Preparata per: Angelini Industries — Communication &amp; Brand</w:t>
      </w:r>
    </w:p>
    <w:p>
      <w:pPr>
        <w:spacing w:after="60" w:before="0"/>
      </w:pPr>
      <w:r>
        <w:rPr>
          <w:rFonts w:ascii="Aptos" w:cs="Aptos" w:eastAsia="Aptos" w:hAnsi="Aptos"/>
          <w:color w:val="1A1A1A"/>
          <w:sz w:val="22"/>
          <w:szCs w:val="22"/>
        </w:rPr>
        <w:t xml:space="preserve">Data emissione: maggio 2026</w:t>
      </w:r>
    </w:p>
    <w:p>
      <w:pPr>
        <w:spacing w:after="60" w:before="0"/>
      </w:pPr>
      <w:r>
        <w:rPr>
          <w:rFonts w:ascii="Aptos" w:cs="Aptos" w:eastAsia="Aptos" w:hAnsi="Aptos"/>
          <w:color w:val="1A1A1A"/>
          <w:sz w:val="22"/>
          <w:szCs w:val="22"/>
        </w:rPr>
        <w:t xml:space="preserve">Versione: v1 — Bozza per discussione</w:t>
      </w:r>
    </w:p>
    <w:p>
      <w:pPr>
        <w:spacing w:after="60" w:before="0"/>
      </w:pPr>
      <w:r>
        <w:rPr>
          <w:rFonts w:ascii="Aptos" w:cs="Aptos" w:eastAsia="Aptos" w:hAnsi="Aptos"/>
          <w:i/>
          <w:iCs/>
          <w:color w:val="606060"/>
          <w:sz w:val="22"/>
          <w:szCs w:val="22"/>
        </w:rPr>
        <w:t xml:space="preserve">Partner editoriale e di rete accademica: FuturItaly</w:t>
      </w:r>
    </w:p>
    <w:p>
      <w:pPr>
        <w:pStyle w:val="Heading1"/>
        <w:pageBreakBefore/>
        <w:spacing w:after="200" w:before="360"/>
      </w:pPr>
      <w:r>
        <w:rPr>
          <w:rFonts w:ascii="Aptos" w:cs="Aptos" w:eastAsia="Aptos" w:hAnsi="Aptos"/>
          <w:b/>
          <w:bCs/>
          <w:color w:val="000000"/>
          <w:sz w:val="32"/>
          <w:szCs w:val="32"/>
        </w:rPr>
        <w:t xml:space="preserve">1. Oggetto della Proposta</w:t>
      </w:r>
    </w:p>
    <w:p>
      <w:pPr>
        <w:spacing w:after="80" w:before="60"/>
        <w:jc w:val="both"/>
      </w:pPr>
      <w:r>
        <w:rPr>
          <w:rFonts w:ascii="Aptos" w:cs="Aptos" w:eastAsia="Aptos" w:hAnsi="Aptos"/>
          <w:color w:val="1A1A1A"/>
          <w:sz w:val="22"/>
          <w:szCs w:val="22"/>
        </w:rPr>
        <w:t xml:space="preserve">La presente proposta descrive il programma di intervento che HeyAI propone ad Angelini Academy per accompagnare la fase di evoluzione 2026 verso un posizionamento internazionale nel corporate learning innovation. L’intervento copre l’intera filiera digitale — strategia, sito web, contenuti editoriali, intelligenza artificiale applicata, gestione social e rete accademica — secondo un’architettura modulare che preserva il controllo del committente sull’ampiezza dell’ingaggio.</w:t>
      </w:r>
    </w:p>
    <w:p>
      <w:pPr>
        <w:spacing w:after="80" w:before="60"/>
        <w:jc w:val="both"/>
      </w:pPr>
      <w:r>
        <w:rPr>
          <w:rFonts w:ascii="Aptos" w:cs="Aptos" w:eastAsia="Aptos" w:hAnsi="Aptos"/>
          <w:color w:val="1A1A1A"/>
          <w:sz w:val="22"/>
          <w:szCs w:val="22"/>
        </w:rPr>
        <w:t xml:space="preserve">Il punto di partenza è il brief gara ricevuto: una richiesta integrata di strategia di comunicazione che articola social, sito web e kit comunicazione esterna. La nostra lettura strategica trasforma questa richiesta in un ecosistema digitale unitario, dove il sito web diventa l’infrastruttura strutturale che orchestra contenuti, audience e iniziative dell’Academy, mentre i social, l’AI e la rete accademica si configurano come amplificatori coerenti dello stesso posizionamento.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8C96" w:sz="4"/>
              <w:left w:val="single" w:color="2B8C96" w:sz="4"/>
              <w:bottom w:val="single" w:color="2B8C96" w:sz="4"/>
              <w:right w:val="single" w:color="2B8C96" w:sz="4"/>
            </w:tcBorders>
            <w:shd w:fill="E8F4F6" w:val="clear"/>
            <w:tcMar>
              <w:top w:type="dxa" w:w="120"/>
              <w:left w:type="dxa" w:w="200"/>
              <w:bottom w:type="dxa" w:w="120"/>
              <w:right w:type="dxa" w:w="200"/>
            </w:tcMar>
          </w:tcPr>
          <w:p>
            <w:pPr>
              <w:spacing w:after="100" w:before="0"/>
            </w:pPr>
            <w:r>
              <w:rPr>
                <w:rFonts w:ascii="Aptos" w:cs="Aptos" w:eastAsia="Aptos" w:hAnsi="Aptos"/>
                <w:b/>
                <w:bCs/>
                <w:color w:val="2B8C96"/>
                <w:sz w:val="22"/>
                <w:szCs w:val="22"/>
              </w:rPr>
              <w:t xml:space="preserve">Perché un ecosistema integrato e non un’agenzia social classica</w:t>
            </w:r>
          </w:p>
          <w:p>
            <w:pPr>
              <w:spacing w:after="40" w:before="40"/>
            </w:pPr>
            <w:r>
              <w:rPr>
                <w:rFonts w:ascii="Aptos" w:cs="Aptos" w:eastAsia="Aptos" w:hAnsi="Aptos"/>
                <w:color w:val="1A1A1A"/>
                <w:sz w:val="22"/>
                <w:szCs w:val="22"/>
              </w:rPr>
              <w:t xml:space="preserve">La maggior parte dei concorrenti vi proporrà una strategia social più un sito vetrina. Noi vi proponiamo un’infrastruttura digitale che fa convergere tutti i vostri canali, alimentata da una direzione editoriale che si autoalimenta dal vostro patrimonio Engaged Research.</w:t>
            </w:r>
          </w:p>
          <w:p>
            <w:pPr>
              <w:spacing w:after="40" w:before="40"/>
            </w:pPr>
            <w:r>
              <w:rPr>
                <w:rFonts w:ascii="Aptos" w:cs="Aptos" w:eastAsia="Aptos" w:hAnsi="Aptos"/>
                <w:color w:val="1A1A1A"/>
                <w:sz w:val="22"/>
                <w:szCs w:val="22"/>
              </w:rPr>
              <w:t xml:space="preserve">La differenza pratica: tra dodici mesi avrete un asset strutturale che continua a generare valore di posizionamento, non una serie di campagne che si esauriscono al termine del budget.</w:t>
            </w:r>
          </w:p>
          <w:p>
            <w:pPr>
              <w:spacing w:after="40" w:before="40"/>
            </w:pPr>
            <w:r>
              <w:rPr>
                <w:rFonts w:ascii="Aptos" w:cs="Aptos" w:eastAsia="Aptos" w:hAnsi="Aptos"/>
                <w:color w:val="1A1A1A"/>
                <w:sz w:val="22"/>
                <w:szCs w:val="22"/>
              </w:rPr>
              <w:t xml:space="preserve">La differenza economica: una leva di finanza agevolata europea pre-screenata può coprire fino al 100% di parte dei costi R&amp;D dell’Engaged Research, riducendo significativamente il budget netto.</w:t>
            </w:r>
          </w:p>
        </w:tc>
      </w:tr>
    </w:tbl>
    <w:p>
      <w:pPr>
        <w:spacing w:after="100" w:before="200"/>
      </w:pPr>
      <w:r>
        <w:rPr>
          <w:rFonts w:ascii="Aptos" w:cs="Aptos" w:eastAsia="Aptos" w:hAnsi="Aptos"/>
          <w:b/>
          <w:bCs/>
          <w:color w:val="2B8C96"/>
          <w:sz w:val="22"/>
          <w:szCs w:val="22"/>
        </w:rPr>
        <w:t xml:space="preserve">Outcome attesi per Angelini Academy</w:t>
      </w:r>
    </w:p>
    <w:p>
      <w:pPr>
        <w:pStyle w:val="ListParagraph"/>
        <w:numPr>
          <w:ilvl w:val="0"/>
          <w:numId w:val="2"/>
        </w:numPr>
        <w:spacing w:after="40" w:before="40"/>
      </w:pPr>
      <w:r>
        <w:rPr>
          <w:rFonts w:ascii="Aptos" w:cs="Aptos" w:eastAsia="Aptos" w:hAnsi="Aptos"/>
          <w:color w:val="1A1A1A"/>
          <w:sz w:val="22"/>
          <w:szCs w:val="22"/>
        </w:rPr>
        <w:t xml:space="preserve">Posizionamento distintivo nel corporate learning innovation europeo, riconoscibile sui due driver chiave: ricerca pedagogica autonoma e forza dell’ecosistema di partnership.</w:t>
      </w:r>
    </w:p>
    <w:p>
      <w:pPr>
        <w:pStyle w:val="ListParagraph"/>
        <w:numPr>
          <w:ilvl w:val="0"/>
          <w:numId w:val="2"/>
        </w:numPr>
        <w:spacing w:after="40" w:before="40"/>
      </w:pPr>
      <w:r>
        <w:rPr>
          <w:rFonts w:ascii="Aptos" w:cs="Aptos" w:eastAsia="Aptos" w:hAnsi="Aptos"/>
          <w:color w:val="1A1A1A"/>
          <w:sz w:val="22"/>
          <w:szCs w:val="22"/>
        </w:rPr>
        <w:t xml:space="preserve">Sito web come hub digitale omnicanale: punto di convergenza dei canali esistenti (LinkedIn, eventi, partnership accademiche e industriali) e motore di lancio per le iniziative dell’Academy.</w:t>
      </w:r>
    </w:p>
    <w:p>
      <w:pPr>
        <w:pStyle w:val="ListParagraph"/>
        <w:numPr>
          <w:ilvl w:val="0"/>
          <w:numId w:val="2"/>
        </w:numPr>
        <w:spacing w:after="40" w:before="40"/>
      </w:pPr>
      <w:r>
        <w:rPr>
          <w:rFonts w:ascii="Aptos" w:cs="Aptos" w:eastAsia="Aptos" w:hAnsi="Aptos"/>
          <w:color w:val="1A1A1A"/>
          <w:sz w:val="22"/>
          <w:szCs w:val="22"/>
        </w:rPr>
        <w:t xml:space="preserve">Sistema editoriale che si autoalimenta dal vostro patrimonio già in essere — paper Engaged Research, eventi, masterclass, Forum, hackathon — trasformati in contenuti fruibili e autorevoli declinati in formati diversi.</w:t>
      </w:r>
    </w:p>
    <w:p>
      <w:pPr>
        <w:pStyle w:val="ListParagraph"/>
        <w:numPr>
          <w:ilvl w:val="0"/>
          <w:numId w:val="2"/>
        </w:numPr>
        <w:spacing w:after="40" w:before="40"/>
      </w:pPr>
      <w:r>
        <w:rPr>
          <w:rFonts w:ascii="Aptos" w:cs="Aptos" w:eastAsia="Aptos" w:hAnsi="Aptos"/>
          <w:color w:val="1A1A1A"/>
          <w:sz w:val="22"/>
          <w:szCs w:val="22"/>
        </w:rPr>
        <w:t xml:space="preserve">Strato di intelligenza artificiale applicata al contenuto: quattro MVP verticali declinati per audience che potenziano l’accessibilità e la fruizione dei contenuti scientifici.</w:t>
      </w:r>
    </w:p>
    <w:p>
      <w:pPr>
        <w:pStyle w:val="ListParagraph"/>
        <w:numPr>
          <w:ilvl w:val="0"/>
          <w:numId w:val="2"/>
        </w:numPr>
        <w:spacing w:after="40" w:before="40"/>
      </w:pPr>
      <w:r>
        <w:rPr>
          <w:rFonts w:ascii="Aptos" w:cs="Aptos" w:eastAsia="Aptos" w:hAnsi="Aptos"/>
          <w:color w:val="1A1A1A"/>
          <w:sz w:val="22"/>
          <w:szCs w:val="22"/>
        </w:rPr>
        <w:t xml:space="preserve">Apertura di una linea di finanziamento europea per la ricerca pedagogica e le partnership accademiche, con accompagnamento alla candidatura.</w:t>
      </w:r>
    </w:p>
    <w:p>
      <w:pPr>
        <w:pStyle w:val="Heading1"/>
        <w:pageBreakBefore/>
        <w:spacing w:after="200" w:before="360"/>
      </w:pPr>
      <w:r>
        <w:rPr>
          <w:rFonts w:ascii="Aptos" w:cs="Aptos" w:eastAsia="Aptos" w:hAnsi="Aptos"/>
          <w:b/>
          <w:bCs/>
          <w:color w:val="000000"/>
          <w:sz w:val="32"/>
          <w:szCs w:val="32"/>
        </w:rPr>
        <w:t xml:space="preserve">2. Contesto e Aree di Business Coperte</w:t>
      </w:r>
    </w:p>
    <w:p>
      <w:pPr>
        <w:spacing w:after="80" w:before="60"/>
        <w:jc w:val="both"/>
      </w:pPr>
      <w:r>
        <w:rPr>
          <w:rFonts w:ascii="Aptos" w:cs="Aptos" w:eastAsia="Aptos" w:hAnsi="Aptos"/>
          <w:color w:val="1A1A1A"/>
          <w:sz w:val="22"/>
          <w:szCs w:val="22"/>
        </w:rPr>
        <w:t xml:space="preserve">Il piano di comunicazione 2026 di Angelini Academy poggia su tre obiettivi: presentare l’Academy e il suo posizionamento unico, consolidare il posizionamento internazionale nel corporate learning, valorizzare l’offerta formativa per attrarre iscrizioni. I tre obiettivi convergono in una domanda operativa: come generare contenuti e relazioni che si autoalimentano nel tempo, indipendentemente dalla campagna del momento.</w:t>
      </w:r>
    </w:p>
    <w:p>
      <w:pPr>
        <w:spacing w:after="80" w:before="60"/>
        <w:jc w:val="both"/>
      </w:pPr>
      <w:r>
        <w:rPr>
          <w:rFonts w:ascii="Aptos" w:cs="Aptos" w:eastAsia="Aptos" w:hAnsi="Aptos"/>
          <w:color w:val="1A1A1A"/>
          <w:sz w:val="22"/>
          <w:szCs w:val="22"/>
        </w:rPr>
        <w:t xml:space="preserve">La proposta copre l’intera filiera digitale necessaria a rispondere a questa domanda, articolata in quattro aree di intervento complementari. Ciascuna è acquistabile separatamente o in combinazione, con sconti progressivi sul bundle.</w:t>
      </w:r>
    </w:p>
    <w:p>
      <w:pPr>
        <w:pStyle w:val="Heading2"/>
        <w:spacing w:after="120" w:before="240"/>
      </w:pPr>
      <w:r>
        <w:rPr>
          <w:rFonts w:ascii="Aptos" w:cs="Aptos" w:eastAsia="Aptos" w:hAnsi="Aptos"/>
          <w:b/>
          <w:bCs/>
          <w:color w:val="000000"/>
          <w:sz w:val="24"/>
          <w:szCs w:val="24"/>
        </w:rPr>
        <w:t xml:space="preserve">2.1 Mappa delle aree di intervento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Area</w:t>
            </w:r>
          </w:p>
        </w:tc>
        <w:tc>
          <w:tcPr>
            <w:tcW w:type="dxa" w:w="5026"/>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Cosa copre</w:t>
            </w:r>
          </w:p>
        </w:tc>
        <w:tc>
          <w:tcPr>
            <w:tcW w:type="dxa" w:w="20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Modalità</w:t>
            </w:r>
          </w:p>
        </w:tc>
      </w:tr>
      <w:tr>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P1 — Sito web</w:t>
            </w:r>
          </w:p>
        </w:tc>
        <w:tc>
          <w:tcPr>
            <w:tcW w:type="dxa" w:w="50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Riallineamento sito attuale per pre-lancio, sito web pubblico nuovo, area riservata dipendenti, community alumni e ricercatori, capability di intelligenza artificiale</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Progetti per fase + add-on modulari</w:t>
            </w:r>
          </w:p>
        </w:tc>
      </w:tr>
      <w:tr>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P2 — Editoriale e Social</w:t>
            </w:r>
          </w:p>
        </w:tc>
        <w:tc>
          <w:tcPr>
            <w:tcW w:type="dxa" w:w="50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Creazione contenuti continuativa, gestione LinkedIn Academy organica e paid, email marketing, project management e operations</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Workshop iniziale + canone mensile continuativo</w:t>
            </w:r>
          </w:p>
        </w:tc>
      </w:tr>
      <w:tr>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P3 — Rete accademica e finanza agevolata</w:t>
            </w:r>
          </w:p>
        </w:tc>
        <w:tc>
          <w:tcPr>
            <w:tcW w:type="dxa" w:w="50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Sviluppo contatti con 13 atenei pre-screenati in 6 paesi, accompagnamento alla candidatura per 5 bandi europei mappati</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On-demand, gestione FuturItaly</w:t>
            </w:r>
          </w:p>
        </w:tc>
      </w:tr>
      <w:tr>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P4 — Kit di comunicazione esterna</w:t>
            </w:r>
          </w:p>
        </w:tc>
        <w:tc>
          <w:tcPr>
            <w:tcW w:type="dxa" w:w="50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Concept video promozionale, brochure presentazione, scouting gadget personalizzati</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Su richiesta, opzionale</w:t>
            </w:r>
          </w:p>
        </w:tc>
      </w:tr>
    </w:tbl>
    <w:p>
      <w:pPr>
        <w:pStyle w:val="Heading2"/>
        <w:spacing w:after="120" w:before="240"/>
      </w:pPr>
      <w:r>
        <w:rPr>
          <w:rFonts w:ascii="Aptos" w:cs="Aptos" w:eastAsia="Aptos" w:hAnsi="Aptos"/>
          <w:b/>
          <w:bCs/>
          <w:color w:val="000000"/>
          <w:sz w:val="24"/>
          <w:szCs w:val="24"/>
        </w:rPr>
        <w:t xml:space="preserve">2.2 Allineamento con il brief gara</w:t>
      </w:r>
    </w:p>
    <w:p>
      <w:pPr>
        <w:spacing w:after="80" w:before="60"/>
        <w:jc w:val="both"/>
      </w:pPr>
      <w:r>
        <w:rPr>
          <w:rFonts w:ascii="Aptos" w:cs="Aptos" w:eastAsia="Aptos" w:hAnsi="Aptos"/>
          <w:color w:val="1A1A1A"/>
          <w:sz w:val="22"/>
          <w:szCs w:val="22"/>
        </w:rPr>
        <w:t xml:space="preserve">Il brief gara articola tre richieste principali: strategia social integrata, aggiornamento sito web coerente con il nuovo posizionamento, kit di comunicazione esterna. La proposta risponde integralmente a queste richieste e ne estende il valore strategico attraverso tre componenti complementari: una nuova versione del sito web come hub digitale strutturale, una piattaforma di intelligenza artificiale applicata ai contenuti, e una leva di posizionamento accademico internazionale con copertura di finanza agevolata.</w:t>
      </w:r>
    </w:p>
    <w:p>
      <w:pPr>
        <w:pStyle w:val="Heading1"/>
        <w:pageBreakBefore/>
        <w:spacing w:after="200" w:before="360"/>
      </w:pPr>
      <w:r>
        <w:rPr>
          <w:rFonts w:ascii="Aptos" w:cs="Aptos" w:eastAsia="Aptos" w:hAnsi="Aptos"/>
          <w:b/>
          <w:bCs/>
          <w:color w:val="000000"/>
          <w:sz w:val="32"/>
          <w:szCs w:val="32"/>
        </w:rPr>
        <w:t xml:space="preserve">3. Soluzione Tecnica</w:t>
      </w:r>
    </w:p>
    <w:p>
      <w:pPr>
        <w:spacing w:after="80" w:before="60"/>
        <w:jc w:val="both"/>
      </w:pPr>
      <w:r>
        <w:rPr>
          <w:rFonts w:ascii="Aptos" w:cs="Aptos" w:eastAsia="Aptos" w:hAnsi="Aptos"/>
          <w:color w:val="1A1A1A"/>
          <w:sz w:val="22"/>
          <w:szCs w:val="22"/>
        </w:rPr>
        <w:t xml:space="preserve">La soluzione tecnica si articola in un nucleo principale — il sito web pubblico nuovo — e in moduli aggiuntivi (area riservata, community, intelligenza artificiale, landing eventi) acquistabili separatamente. Ogni modulo è progettato per funzionare in autonomia o per integrarsi nel sistema complessivo, con un’architettura coerente di autenticazione e governance dei contenuti.</w:t>
      </w:r>
    </w:p>
    <w:p>
      <w:pPr>
        <w:pStyle w:val="Heading2"/>
        <w:spacing w:after="120" w:before="240"/>
      </w:pPr>
      <w:r>
        <w:rPr>
          <w:rFonts w:ascii="Aptos" w:cs="Aptos" w:eastAsia="Aptos" w:hAnsi="Aptos"/>
          <w:b/>
          <w:bCs/>
          <w:color w:val="000000"/>
          <w:sz w:val="24"/>
          <w:szCs w:val="24"/>
        </w:rPr>
        <w:t xml:space="preserve">3.1 Nucleo — Sito web pubblico nuovo</w:t>
      </w:r>
    </w:p>
    <w:p>
      <w:pPr>
        <w:spacing w:after="80" w:before="60"/>
        <w:jc w:val="both"/>
      </w:pPr>
      <w:r>
        <w:rPr>
          <w:rFonts w:ascii="Aptos" w:cs="Aptos" w:eastAsia="Aptos" w:hAnsi="Aptos"/>
          <w:color w:val="1A1A1A"/>
          <w:sz w:val="22"/>
          <w:szCs w:val="22"/>
        </w:rPr>
        <w:t xml:space="preserve">Sito web istituzionale completo, articolato in 17 percorsi che coprono i cinque profili di audience pubblica (giovane talento, ricercatore accademico, HR e business, imprese e partner di filiera, media e istituzioni), più le sezioni istituzionali (chi siamo, MBA Gateway, Engaged Research preview, Founder Stories, blog editoriale, eventi, press, contatti). Architettura responsive, ottimizzata per dispositivi desktop e mobile.</w:t>
      </w:r>
    </w:p>
    <w:p>
      <w:pPr>
        <w:pStyle w:val="ListParagraph"/>
        <w:numPr>
          <w:ilvl w:val="0"/>
          <w:numId w:val="2"/>
        </w:numPr>
        <w:spacing w:after="40" w:before="40"/>
      </w:pPr>
      <w:r>
        <w:rPr>
          <w:rFonts w:ascii="Aptos" w:cs="Aptos" w:eastAsia="Aptos" w:hAnsi="Aptos"/>
          <w:color w:val="1A1A1A"/>
          <w:sz w:val="22"/>
          <w:szCs w:val="22"/>
        </w:rPr>
        <w:t xml:space="preserve">Sistema di gestione contenuti dedicato per pubblicare paper Engaged Research, articoli blog, Founder Stories, eventi e materiali press in autonomia da parte del committente.</w:t>
      </w:r>
    </w:p>
    <w:p>
      <w:pPr>
        <w:pStyle w:val="ListParagraph"/>
        <w:numPr>
          <w:ilvl w:val="0"/>
          <w:numId w:val="2"/>
        </w:numPr>
        <w:spacing w:after="40" w:before="40"/>
      </w:pPr>
      <w:r>
        <w:rPr>
          <w:rFonts w:ascii="Aptos" w:cs="Aptos" w:eastAsia="Aptos" w:hAnsi="Aptos"/>
          <w:color w:val="1A1A1A"/>
          <w:sz w:val="22"/>
          <w:szCs w:val="22"/>
        </w:rPr>
        <w:t xml:space="preserve">Bilinguismo italiano/inglese integrato fin dal lancio, con gestione URL strutturata e indicizzazione multi-lingua.</w:t>
      </w:r>
    </w:p>
    <w:p>
      <w:pPr>
        <w:pStyle w:val="ListParagraph"/>
        <w:numPr>
          <w:ilvl w:val="0"/>
          <w:numId w:val="2"/>
        </w:numPr>
        <w:spacing w:after="40" w:before="40"/>
      </w:pPr>
      <w:r>
        <w:rPr>
          <w:rFonts w:ascii="Aptos" w:cs="Aptos" w:eastAsia="Aptos" w:hAnsi="Aptos"/>
          <w:color w:val="1A1A1A"/>
          <w:sz w:val="22"/>
          <w:szCs w:val="22"/>
        </w:rPr>
        <w:t xml:space="preserve">Form di raccolta richieste per MBA Gateway, contatti e newsletter, con consegna delle richieste a indirizzo email o database controllabile dal committente.</w:t>
      </w:r>
    </w:p>
    <w:p>
      <w:pPr>
        <w:pStyle w:val="ListParagraph"/>
        <w:numPr>
          <w:ilvl w:val="0"/>
          <w:numId w:val="2"/>
        </w:numPr>
        <w:spacing w:after="40" w:before="40"/>
      </w:pPr>
      <w:r>
        <w:rPr>
          <w:rFonts w:ascii="Aptos" w:cs="Aptos" w:eastAsia="Aptos" w:hAnsi="Aptos"/>
          <w:color w:val="1A1A1A"/>
          <w:sz w:val="22"/>
          <w:szCs w:val="22"/>
        </w:rPr>
        <w:t xml:space="preserve">Performance ottimizzata, gestione cookie e privacy conforme al regolamento europeo, infrastruttura di hosting produzione.</w:t>
      </w:r>
    </w:p>
    <w:p>
      <w:pPr>
        <w:pStyle w:val="Heading2"/>
        <w:spacing w:after="120" w:before="240"/>
      </w:pPr>
      <w:r>
        <w:rPr>
          <w:rFonts w:ascii="Aptos" w:cs="Aptos" w:eastAsia="Aptos" w:hAnsi="Aptos"/>
          <w:b/>
          <w:bCs/>
          <w:color w:val="000000"/>
          <w:sz w:val="24"/>
          <w:szCs w:val="24"/>
        </w:rPr>
        <w:t xml:space="preserve">3.2 Moduli aggiuntivi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Modulo</w:t>
            </w:r>
          </w:p>
        </w:tc>
        <w:tc>
          <w:tcPr>
            <w:tcW w:type="dxa" w:w="6526"/>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Descrizione sintetica</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Area Riservata Dipendenti</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Spazio digitale dedicato ai dipendenti del Gruppo Angelini, con accesso autenticato e dashboard personale. Disponibile in due livelli: una versione semplice con accesso unificato, e una versione avanzata con tracciamento del percorso formativo per singolo dipendente.</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Community Engaged Network</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Piattaforma community per alumni MBA e ricercatori partner, con tre funzionalità interattive di base: thread di discussione su paper, drafting collaborativo di position paper, tracker del percorso di carriera. Riusa l’infrastruttura di autenticazione dell’Area Riservata.</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Intelligenza Artificiale verticale</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Quattro MVP conversazionali integrati nel sito, dedicati ad audience specifiche: assistente sui contenuti dell’Academy (Tutor), assistente sui paper Engaged Research (Reading Room), navigatore di percorso (Career Path Navigator), motore di ricerca semantica sul corpus (Research Engine). MVP sviluppati su modelli linguistici di mercato, integrati con il corpus di contenuti pubblicati e delimitati da guardrail.</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Analytics e Dashboard</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Dashboard interna per il team Academy con metriche di audience, conversione e performance per percorso. Basata su dati nativi del sito, senza integrazioni esterne.</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Landing eventi</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Landing dedicate per ogni evento (Festival Trento, Forum Casa Angelini, Hackathon, Roadshow, eventi alumni), con form di registrazione, esperienza interattiva e raccolta lead. Disponibili in versione pubblica e in versione interna riservata ai dipendenti del Gruppo.</w:t>
            </w:r>
          </w:p>
        </w:tc>
      </w:tr>
    </w:tbl>
    <w:p>
      <w:pPr>
        <w:pStyle w:val="Heading2"/>
        <w:spacing w:after="120" w:before="240"/>
      </w:pPr>
      <w:r>
        <w:rPr>
          <w:rFonts w:ascii="Aptos" w:cs="Aptos" w:eastAsia="Aptos" w:hAnsi="Aptos"/>
          <w:b/>
          <w:bCs/>
          <w:color w:val="000000"/>
          <w:sz w:val="24"/>
          <w:szCs w:val="24"/>
        </w:rPr>
        <w:t xml:space="preserve">3.3 Conformità e accessibilità</w:t>
      </w:r>
    </w:p>
    <w:p>
      <w:pPr>
        <w:spacing w:after="80" w:before="60"/>
        <w:jc w:val="both"/>
      </w:pPr>
      <w:r>
        <w:rPr>
          <w:rFonts w:ascii="Aptos" w:cs="Aptos" w:eastAsia="Aptos" w:hAnsi="Aptos"/>
          <w:color w:val="1A1A1A"/>
          <w:sz w:val="22"/>
          <w:szCs w:val="22"/>
        </w:rPr>
        <w:t xml:space="preserve">Per scelta progettuale, la conformità al regolamento europeo sull’accessibilità (European Accessibility Act, in vigore dal 28 giugno 2025) è trattata come modulo dedicato, non implicita nel nucleo. Analogamente, l’ottimizzazione SEO avanzata e il setup di analytics avanzato sono moduli separati. Questa scelta consente di calibrare l’investimento sulle priorità reali del committente.</w:t>
      </w:r>
    </w:p>
    <w:p>
      <w:pPr>
        <w:pStyle w:val="Heading1"/>
        <w:pageBreakBefore/>
        <w:spacing w:after="200" w:before="360"/>
      </w:pPr>
      <w:r>
        <w:rPr>
          <w:rFonts w:ascii="Aptos" w:cs="Aptos" w:eastAsia="Aptos" w:hAnsi="Aptos"/>
          <w:b/>
          <w:bCs/>
          <w:color w:val="000000"/>
          <w:sz w:val="32"/>
          <w:szCs w:val="32"/>
        </w:rPr>
        <w:t xml:space="preserve">4. Fonti Dati e Integrazioni</w:t>
      </w:r>
    </w:p>
    <w:p>
      <w:pPr>
        <w:spacing w:after="80" w:before="60"/>
        <w:jc w:val="both"/>
      </w:pPr>
      <w:r>
        <w:rPr>
          <w:rFonts w:ascii="Aptos" w:cs="Aptos" w:eastAsia="Aptos" w:hAnsi="Aptos"/>
          <w:color w:val="1A1A1A"/>
          <w:sz w:val="22"/>
          <w:szCs w:val="22"/>
        </w:rPr>
        <w:t xml:space="preserve">La soluzione è progettata per integrarsi con i sistemi e i canali già in uso da Angelini Academy. Le integrazioni esterne (CRM, gateway di pagamento, piattaforme di email marketing) sono trattate come moduli aggiuntivi quotati separatamente, in modo da rispettare lo stato dell’arte degli strumenti già adottati e da consentire una valutazione tecnica congiunta.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Integrazione</w:t>
            </w:r>
          </w:p>
        </w:tc>
        <w:tc>
          <w:tcPr>
            <w:tcW w:type="dxa" w:w="4626"/>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Cosa abilita</w:t>
            </w:r>
          </w:p>
        </w:tc>
        <w:tc>
          <w:tcPr>
            <w:tcW w:type="dxa" w:w="22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Stato proposta</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CRM</w:t>
            </w:r>
          </w:p>
        </w:tc>
        <w:tc>
          <w:tcPr>
            <w:tcW w:type="dxa" w:w="46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Routing automatico dei lead raccolti dai form sito verso il CRM aziendale, con scoring di qualifica</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Su richiesta, quotato a parte</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Email marketing</w:t>
            </w:r>
          </w:p>
        </w:tc>
        <w:tc>
          <w:tcPr>
            <w:tcW w:type="dxa" w:w="46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Collegamento tecnico tra form sito e piattaforma di email marketing (Mailchimp, Brevo, HubSpot o altra)</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Modulo dedicato, quotato a parte</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Gateway di pagamento</w:t>
            </w:r>
          </w:p>
        </w:tc>
        <w:tc>
          <w:tcPr>
            <w:tcW w:type="dxa" w:w="46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Integrazione per l’acquisto online di programmi formativi a pagamento</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Su richiesta, quotato a parte</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Rete accademica internazionale</w:t>
            </w:r>
          </w:p>
        </w:tc>
        <w:tc>
          <w:tcPr>
            <w:tcW w:type="dxa" w:w="46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Sviluppo contatti con 13 atenei pre-screenati in 6 paesi (Italia, Germania, Belgio, Regno Unito, Stati Uniti, Cina)</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Servizio dedicato FuturItaly, vedi sezione 8</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Finanza agevolata europea</w:t>
            </w:r>
          </w:p>
        </w:tc>
        <w:tc>
          <w:tcPr>
            <w:tcW w:type="dxa" w:w="46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Pre-screening e accompagnamento alla candidatura per 5 bandi mappati (Horizon MSCA, Doctoral Networks, RIA, Erasmus+)</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Servizio dedicato FuturItaly, vedi sezione 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8C96" w:sz="4"/>
              <w:left w:val="single" w:color="2B8C96" w:sz="4"/>
              <w:bottom w:val="single" w:color="2B8C96" w:sz="4"/>
              <w:right w:val="single" w:color="2B8C96" w:sz="4"/>
            </w:tcBorders>
            <w:shd w:fill="E8F4F6" w:val="clear"/>
            <w:tcMar>
              <w:top w:type="dxa" w:w="120"/>
              <w:left w:type="dxa" w:w="200"/>
              <w:bottom w:type="dxa" w:w="120"/>
              <w:right w:type="dxa" w:w="200"/>
            </w:tcMar>
          </w:tcPr>
          <w:p>
            <w:pPr>
              <w:spacing w:after="100" w:before="0"/>
            </w:pPr>
            <w:r>
              <w:rPr>
                <w:rFonts w:ascii="Aptos" w:cs="Aptos" w:eastAsia="Aptos" w:hAnsi="Aptos"/>
                <w:b/>
                <w:bCs/>
                <w:color w:val="2B8C96"/>
                <w:sz w:val="22"/>
                <w:szCs w:val="22"/>
              </w:rPr>
              <w:t xml:space="preserve">Leva strategica: finanza agevolata europea</w:t>
            </w:r>
          </w:p>
          <w:p>
            <w:pPr>
              <w:spacing w:after="40" w:before="40"/>
            </w:pPr>
            <w:r>
              <w:rPr>
                <w:rFonts w:ascii="Aptos" w:cs="Aptos" w:eastAsia="Aptos" w:hAnsi="Aptos"/>
                <w:color w:val="1A1A1A"/>
                <w:sz w:val="22"/>
                <w:szCs w:val="22"/>
              </w:rPr>
              <w:t xml:space="preserve">I cinque bandi europei pre-screenati dal nostro partner FuturItaly possono coprire fino al 100% fondo perduto di parte dei costi R&amp;D dell’Engaged Research: dottorati cofinanziati, ricerca sull’impatto del digitale nell’apprendimento, partnership accademiche, mobilità internazionale di ricercatori.</w:t>
            </w:r>
          </w:p>
          <w:p>
            <w:pPr>
              <w:spacing w:after="40" w:before="40"/>
            </w:pPr>
            <w:r>
              <w:rPr>
                <w:rFonts w:ascii="Aptos" w:cs="Aptos" w:eastAsia="Aptos" w:hAnsi="Aptos"/>
                <w:color w:val="1A1A1A"/>
                <w:sz w:val="22"/>
                <w:szCs w:val="22"/>
              </w:rPr>
              <w:t xml:space="preserve">L’accompagnamento alla candidatura è incluso nel servizio dedicato. La sovvenzione è contingente all’esito dei bandi e ai requisiti specifici di ciascuno, ma rappresenta una leva concreta per abbattere il budget netto sul medio-lungo periodo.</w:t>
            </w:r>
          </w:p>
        </w:tc>
      </w:tr>
    </w:tbl>
    <w:p>
      <w:pPr>
        <w:pStyle w:val="Heading1"/>
        <w:pageBreakBefore/>
        <w:spacing w:after="200" w:before="360"/>
      </w:pPr>
      <w:r>
        <w:rPr>
          <w:rFonts w:ascii="Aptos" w:cs="Aptos" w:eastAsia="Aptos" w:hAnsi="Aptos"/>
          <w:b/>
          <w:bCs/>
          <w:color w:val="000000"/>
          <w:sz w:val="32"/>
          <w:szCs w:val="32"/>
        </w:rPr>
        <w:t xml:space="preserve">5. Piano di Lavoro</w:t>
      </w:r>
    </w:p>
    <w:p>
      <w:pPr>
        <w:spacing w:after="80" w:before="60"/>
        <w:jc w:val="both"/>
      </w:pPr>
      <w:r>
        <w:rPr>
          <w:rFonts w:ascii="Aptos" w:cs="Aptos" w:eastAsia="Aptos" w:hAnsi="Aptos"/>
          <w:color w:val="1A1A1A"/>
          <w:sz w:val="22"/>
          <w:szCs w:val="22"/>
        </w:rPr>
        <w:t xml:space="preserve">Il piano di lavoro è articolato in tre fasi progettuali e in un livello continuativo di gestione editoriale e social, con possibilità di attivazione modulare. Ogni fase è autonoma e può essere acquistata indipendentemente dalle altre.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826"/>
        <w:gridCol w:w="1200"/>
      </w:tblGrid>
      <w:tr>
        <w:trPr>
          <w:tblHeader/>
        </w:trPr>
        <w:tc>
          <w:tcPr>
            <w:tcW w:type="dxa" w:w="22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Fase</w:t>
            </w:r>
          </w:p>
        </w:tc>
        <w:tc>
          <w:tcPr>
            <w:tcW w:type="dxa" w:w="18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Quando</w:t>
            </w:r>
          </w:p>
        </w:tc>
        <w:tc>
          <w:tcPr>
            <w:tcW w:type="dxa" w:w="3826"/>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Cosa include</w:t>
            </w:r>
          </w:p>
        </w:tc>
        <w:tc>
          <w:tcPr>
            <w:tcW w:type="dxa" w:w="12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Durata target</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Fase 1 — Riallineamento sito attuale</w:t>
            </w:r>
          </w:p>
        </w:tc>
        <w:tc>
          <w:tcPr>
            <w:tcW w:type="dxa" w:w="1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Giugno 2026</w:t>
            </w:r>
          </w:p>
        </w:tc>
        <w:tc>
          <w:tcPr>
            <w:tcW w:type="dxa" w:w="38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Refresh visivo e aggiornamento contenuti del sito attuale, coerente con il nuovo posizionamento. Supporto al periodo di seeding pre-Festival Trento.</w:t>
            </w:r>
          </w:p>
        </w:tc>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2-3 settimane</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Fase 2 — Sito nuovo e moduli</w:t>
            </w:r>
          </w:p>
        </w:tc>
        <w:tc>
          <w:tcPr>
            <w:tcW w:type="dxa" w:w="1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Luglio - dicembre 2026</w:t>
            </w:r>
          </w:p>
        </w:tc>
        <w:tc>
          <w:tcPr>
            <w:tcW w:type="dxa" w:w="38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Sito web pubblico nuovo (nucleo) ed eventuali moduli aggiuntivi scelti dal committente (Area Riservata, AI verticale, Analytics, Accessibility, SEO, Landing eventi).</w:t>
            </w:r>
          </w:p>
        </w:tc>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4-5 mesi</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Fase 3 — Community Engaged Network</w:t>
            </w:r>
          </w:p>
        </w:tc>
        <w:tc>
          <w:tcPr>
            <w:tcW w:type="dxa" w:w="1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Primo trimestre 2027</w:t>
            </w:r>
          </w:p>
        </w:tc>
        <w:tc>
          <w:tcPr>
            <w:tcW w:type="dxa" w:w="38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Piattaforma community per alumni MBA e ricercatori partner, con tre funzionalità interattive base.</w:t>
            </w:r>
          </w:p>
        </w:tc>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3-4 mesi</w:t>
            </w:r>
          </w:p>
        </w:tc>
      </w:tr>
      <w:tr>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Continuativo — Editoriale e Social</w:t>
            </w:r>
          </w:p>
        </w:tc>
        <w:tc>
          <w:tcPr>
            <w:tcW w:type="dxa" w:w="18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Da luglio 2026 in poi</w:t>
            </w:r>
          </w:p>
        </w:tc>
        <w:tc>
          <w:tcPr>
            <w:tcW w:type="dxa" w:w="38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Creazione contenuti continuativa, gestione LinkedIn Academy, eventuale email marketing.</w:t>
            </w:r>
          </w:p>
        </w:tc>
        <w:tc>
          <w:tcPr>
            <w:tcW w:type="dxa" w:w="1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Canone mensile</w:t>
            </w:r>
          </w:p>
        </w:tc>
      </w:tr>
    </w:tbl>
    <w:p>
      <w:pPr>
        <w:pStyle w:val="Heading2"/>
        <w:spacing w:after="120" w:before="240"/>
      </w:pPr>
      <w:r>
        <w:rPr>
          <w:rFonts w:ascii="Aptos" w:cs="Aptos" w:eastAsia="Aptos" w:hAnsi="Aptos"/>
          <w:b/>
          <w:bCs/>
          <w:color w:val="000000"/>
          <w:sz w:val="24"/>
          <w:szCs w:val="24"/>
        </w:rPr>
        <w:t xml:space="preserve">5.1 Approccio operativo per il sito</w:t>
      </w:r>
    </w:p>
    <w:p>
      <w:pPr>
        <w:spacing w:after="80" w:before="60"/>
        <w:jc w:val="both"/>
      </w:pPr>
      <w:r>
        <w:rPr>
          <w:rFonts w:ascii="Aptos" w:cs="Aptos" w:eastAsia="Aptos" w:hAnsi="Aptos"/>
          <w:color w:val="1A1A1A"/>
          <w:sz w:val="22"/>
          <w:szCs w:val="22"/>
        </w:rPr>
        <w:t xml:space="preserve">Il delivery del sito nuovo è organizzato in cicli iterativi settimanali. Ogni settimana prevede una revisione congiunta con il referente del committente per validare l’avanzamento e raccogliere feedback. Il project management è incluso di default nelle attività di delivery, con un impegno settimanale dedicato alla supervisione e al coordinamento.</w:t>
      </w:r>
    </w:p>
    <w:p>
      <w:pPr>
        <w:pStyle w:val="ListParagraph"/>
        <w:numPr>
          <w:ilvl w:val="0"/>
          <w:numId w:val="2"/>
        </w:numPr>
        <w:spacing w:after="40" w:before="40"/>
      </w:pPr>
      <w:r>
        <w:rPr>
          <w:rFonts w:ascii="Aptos" w:cs="Aptos" w:eastAsia="Aptos" w:hAnsi="Aptos"/>
          <w:color w:val="1A1A1A"/>
          <w:sz w:val="22"/>
          <w:szCs w:val="22"/>
        </w:rPr>
        <w:t xml:space="preserve">Discovery e validazione architettura informativa (settimane 1-2).</w:t>
      </w:r>
    </w:p>
    <w:p>
      <w:pPr>
        <w:pStyle w:val="ListParagraph"/>
        <w:numPr>
          <w:ilvl w:val="0"/>
          <w:numId w:val="2"/>
        </w:numPr>
        <w:spacing w:after="40" w:before="40"/>
      </w:pPr>
      <w:r>
        <w:rPr>
          <w:rFonts w:ascii="Aptos" w:cs="Aptos" w:eastAsia="Aptos" w:hAnsi="Aptos"/>
          <w:color w:val="1A1A1A"/>
          <w:sz w:val="22"/>
          <w:szCs w:val="22"/>
        </w:rPr>
        <w:t xml:space="preserve">Design system e finalizzazione interfacce (settimane 2-3).</w:t>
      </w:r>
    </w:p>
    <w:p>
      <w:pPr>
        <w:pStyle w:val="ListParagraph"/>
        <w:numPr>
          <w:ilvl w:val="0"/>
          <w:numId w:val="2"/>
        </w:numPr>
        <w:spacing w:after="40" w:before="40"/>
      </w:pPr>
      <w:r>
        <w:rPr>
          <w:rFonts w:ascii="Aptos" w:cs="Aptos" w:eastAsia="Aptos" w:hAnsi="Aptos"/>
          <w:color w:val="1A1A1A"/>
          <w:sz w:val="22"/>
          <w:szCs w:val="22"/>
        </w:rPr>
        <w:t xml:space="preserve">Sviluppo iterativo per moduli e percorsi audience (settimane 3-12).</w:t>
      </w:r>
    </w:p>
    <w:p>
      <w:pPr>
        <w:pStyle w:val="ListParagraph"/>
        <w:numPr>
          <w:ilvl w:val="0"/>
          <w:numId w:val="2"/>
        </w:numPr>
        <w:spacing w:after="40" w:before="40"/>
      </w:pPr>
      <w:r>
        <w:rPr>
          <w:rFonts w:ascii="Aptos" w:cs="Aptos" w:eastAsia="Aptos" w:hAnsi="Aptos"/>
          <w:color w:val="1A1A1A"/>
          <w:sz w:val="22"/>
          <w:szCs w:val="22"/>
        </w:rPr>
        <w:t xml:space="preserve">Quality assurance, test cross-browser e mobile, validazione conformità (settimane 13-14).</w:t>
      </w:r>
    </w:p>
    <w:p>
      <w:pPr>
        <w:pStyle w:val="ListParagraph"/>
        <w:numPr>
          <w:ilvl w:val="0"/>
          <w:numId w:val="2"/>
        </w:numPr>
        <w:spacing w:after="40" w:before="40"/>
      </w:pPr>
      <w:r>
        <w:rPr>
          <w:rFonts w:ascii="Aptos" w:cs="Aptos" w:eastAsia="Aptos" w:hAnsi="Aptos"/>
          <w:color w:val="1A1A1A"/>
          <w:sz w:val="22"/>
          <w:szCs w:val="22"/>
        </w:rPr>
        <w:t xml:space="preserve">Handover, formazione del team interno sul sistema di gestione contenuti, deploy in produzione (settimane 14-16).</w:t>
      </w:r>
    </w:p>
    <w:p>
      <w:pPr>
        <w:pStyle w:val="Heading1"/>
        <w:pageBreakBefore/>
        <w:spacing w:after="200" w:before="360"/>
      </w:pPr>
      <w:r>
        <w:rPr>
          <w:rFonts w:ascii="Aptos" w:cs="Aptos" w:eastAsia="Aptos" w:hAnsi="Aptos"/>
          <w:b/>
          <w:bCs/>
          <w:color w:val="000000"/>
          <w:sz w:val="32"/>
          <w:szCs w:val="32"/>
        </w:rPr>
        <w:t xml:space="preserve">6. Sicurezza e Conformità</w:t>
      </w:r>
    </w:p>
    <w:p>
      <w:pPr>
        <w:pStyle w:val="Heading2"/>
        <w:spacing w:after="120" w:before="240"/>
      </w:pPr>
      <w:r>
        <w:rPr>
          <w:rFonts w:ascii="Aptos" w:cs="Aptos" w:eastAsia="Aptos" w:hAnsi="Aptos"/>
          <w:b/>
          <w:bCs/>
          <w:color w:val="000000"/>
          <w:sz w:val="24"/>
          <w:szCs w:val="24"/>
        </w:rPr>
        <w:t xml:space="preserve">6.1 Principi guida</w:t>
      </w:r>
    </w:p>
    <w:p>
      <w:pPr>
        <w:spacing w:after="80" w:before="60"/>
        <w:jc w:val="both"/>
      </w:pPr>
      <w:r>
        <w:rPr>
          <w:rFonts w:ascii="Aptos" w:cs="Aptos" w:eastAsia="Aptos" w:hAnsi="Aptos"/>
          <w:color w:val="1A1A1A"/>
          <w:sz w:val="22"/>
          <w:szCs w:val="22"/>
        </w:rPr>
        <w:t xml:space="preserve">L’architettura tecnica della soluzione è progettata in coerenza con i principi di sicurezza by-design e di protezione dei dati. Tutti i moduli che gestiscono dati personali (form di raccolta richieste, area riservata, community) sono sviluppati nel rispetto del Regolamento Generale sulla Protezione dei Dati (GDPR) e delle linee guida applicabili al trattamento di dati di soggetti europei.</w:t>
      </w:r>
    </w:p>
    <w:p>
      <w:pPr>
        <w:pStyle w:val="Heading2"/>
        <w:spacing w:after="120" w:before="240"/>
      </w:pPr>
      <w:r>
        <w:rPr>
          <w:rFonts w:ascii="Aptos" w:cs="Aptos" w:eastAsia="Aptos" w:hAnsi="Aptos"/>
          <w:b/>
          <w:bCs/>
          <w:color w:val="000000"/>
          <w:sz w:val="24"/>
          <w:szCs w:val="24"/>
        </w:rPr>
        <w:t xml:space="preserve">6.2 Conformità normativa applicabile</w:t>
      </w:r>
    </w:p>
    <w:p>
      <w:pPr>
        <w:pStyle w:val="ListParagraph"/>
        <w:numPr>
          <w:ilvl w:val="0"/>
          <w:numId w:val="2"/>
        </w:numPr>
        <w:spacing w:after="40" w:before="40"/>
      </w:pPr>
      <w:r>
        <w:rPr>
          <w:rFonts w:ascii="Aptos" w:cs="Aptos" w:eastAsia="Aptos" w:hAnsi="Aptos"/>
          <w:color w:val="1A1A1A"/>
          <w:sz w:val="22"/>
          <w:szCs w:val="22"/>
        </w:rPr>
        <w:t xml:space="preserve">Regolamento (UE) 2016/679 (GDPR): basi giuridiche del trattamento, gestione del consenso, diritti dell’interessato, registro dei trattamenti, eventuali nomine di responsabili esterni.</w:t>
      </w:r>
    </w:p>
    <w:p>
      <w:pPr>
        <w:pStyle w:val="ListParagraph"/>
        <w:numPr>
          <w:ilvl w:val="0"/>
          <w:numId w:val="2"/>
        </w:numPr>
        <w:spacing w:after="40" w:before="40"/>
      </w:pPr>
      <w:r>
        <w:rPr>
          <w:rFonts w:ascii="Aptos" w:cs="Aptos" w:eastAsia="Aptos" w:hAnsi="Aptos"/>
          <w:color w:val="1A1A1A"/>
          <w:sz w:val="22"/>
          <w:szCs w:val="22"/>
        </w:rPr>
        <w:t xml:space="preserve">European Accessibility Act (Direttiva UE 2019/882, in vigore dal 28 giugno 2025): conformità WCAG 2.1 livello AA per le sezioni del sito che includono form e funzionalità interattive. Trattata come modulo dedicato nella proposta.</w:t>
      </w:r>
    </w:p>
    <w:p>
      <w:pPr>
        <w:pStyle w:val="ListParagraph"/>
        <w:numPr>
          <w:ilvl w:val="0"/>
          <w:numId w:val="2"/>
        </w:numPr>
        <w:spacing w:after="40" w:before="40"/>
      </w:pPr>
      <w:r>
        <w:rPr>
          <w:rFonts w:ascii="Aptos" w:cs="Aptos" w:eastAsia="Aptos" w:hAnsi="Aptos"/>
          <w:color w:val="1A1A1A"/>
          <w:sz w:val="22"/>
          <w:szCs w:val="22"/>
        </w:rPr>
        <w:t xml:space="preserve">Cookie policy e tracking: gestione del consenso conforme alle linee guida del Garante per la protezione dei dati personali, con piattaforma di consenso dedicata.</w:t>
      </w:r>
    </w:p>
    <w:p>
      <w:pPr>
        <w:pStyle w:val="ListParagraph"/>
        <w:numPr>
          <w:ilvl w:val="0"/>
          <w:numId w:val="2"/>
        </w:numPr>
        <w:spacing w:after="40" w:before="40"/>
      </w:pPr>
      <w:r>
        <w:rPr>
          <w:rFonts w:ascii="Aptos" w:cs="Aptos" w:eastAsia="Aptos" w:hAnsi="Aptos"/>
          <w:color w:val="1A1A1A"/>
          <w:sz w:val="22"/>
          <w:szCs w:val="22"/>
        </w:rPr>
        <w:t xml:space="preserve">Sicurezza applicativa: gestione delle credenziali e delle sessioni secondo standard OWASP, protezione contro le minacce più comuni (Top 10 OWASP), audit di sicurezza pre-produzione.</w:t>
      </w:r>
    </w:p>
    <w:p>
      <w:pPr>
        <w:pStyle w:val="Heading1"/>
        <w:pageBreakBefore/>
        <w:spacing w:after="200" w:before="360"/>
      </w:pPr>
      <w:r>
        <w:rPr>
          <w:rFonts w:ascii="Aptos" w:cs="Aptos" w:eastAsia="Aptos" w:hAnsi="Aptos"/>
          <w:b/>
          <w:bCs/>
          <w:color w:val="000000"/>
          <w:sz w:val="32"/>
          <w:szCs w:val="32"/>
        </w:rPr>
        <w:t xml:space="preserve">7. Proprietà Intellettuale e Modello di Collaborazione</w:t>
      </w:r>
    </w:p>
    <w:p>
      <w:pPr>
        <w:spacing w:after="80" w:before="60"/>
        <w:jc w:val="both"/>
      </w:pPr>
      <w:r>
        <w:rPr>
          <w:rFonts w:ascii="Aptos" w:cs="Aptos" w:eastAsia="Aptos" w:hAnsi="Aptos"/>
          <w:color w:val="1A1A1A"/>
          <w:sz w:val="22"/>
          <w:szCs w:val="22"/>
        </w:rPr>
        <w:t xml:space="preserve">Il modello di collaborazione proposto è di tipo licenza d’uso standard, con possibilità di evoluzione verso un modello di trasferimento completo della proprietà a seguito di accordo specifico.</w:t>
      </w:r>
    </w:p>
    <w:p>
      <w:pPr>
        <w:pStyle w:val="Heading2"/>
        <w:spacing w:after="120" w:before="240"/>
      </w:pPr>
      <w:r>
        <w:rPr>
          <w:rFonts w:ascii="Aptos" w:cs="Aptos" w:eastAsia="Aptos" w:hAnsi="Aptos"/>
          <w:b/>
          <w:bCs/>
          <w:color w:val="000000"/>
          <w:sz w:val="24"/>
          <w:szCs w:val="24"/>
        </w:rPr>
        <w:t xml:space="preserve">7.1 Proprietà dei contenuti</w:t>
      </w:r>
    </w:p>
    <w:p>
      <w:pPr>
        <w:spacing w:after="80" w:before="60"/>
        <w:jc w:val="both"/>
      </w:pPr>
      <w:r>
        <w:rPr>
          <w:rFonts w:ascii="Aptos" w:cs="Aptos" w:eastAsia="Aptos" w:hAnsi="Aptos"/>
          <w:color w:val="1A1A1A"/>
          <w:sz w:val="22"/>
          <w:szCs w:val="22"/>
        </w:rPr>
        <w:t xml:space="preserve">Tutti i contenuti prodotti per Angelini Academy nell’ambito della collaborazione — copy del sito, articoli blog, paper editoriali, Founder Stories, materiali press — sono di proprietà esclusiva del committente. HeyAI mantiene il diritto di citarli a fini di portfolio commerciale, salvo diversa indicazione scritta.</w:t>
      </w:r>
    </w:p>
    <w:p>
      <w:pPr>
        <w:pStyle w:val="Heading2"/>
        <w:spacing w:after="120" w:before="240"/>
      </w:pPr>
      <w:r>
        <w:rPr>
          <w:rFonts w:ascii="Aptos" w:cs="Aptos" w:eastAsia="Aptos" w:hAnsi="Aptos"/>
          <w:b/>
          <w:bCs/>
          <w:color w:val="000000"/>
          <w:sz w:val="24"/>
          <w:szCs w:val="24"/>
        </w:rPr>
        <w:t xml:space="preserve">7.2 Proprietà del software e dell’architettura</w:t>
      </w:r>
    </w:p>
    <w:p>
      <w:pPr>
        <w:spacing w:after="80" w:before="60"/>
        <w:jc w:val="both"/>
      </w:pPr>
      <w:r>
        <w:rPr>
          <w:rFonts w:ascii="Aptos" w:cs="Aptos" w:eastAsia="Aptos" w:hAnsi="Aptos"/>
          <w:color w:val="1A1A1A"/>
          <w:sz w:val="22"/>
          <w:szCs w:val="22"/>
        </w:rPr>
        <w:t xml:space="preserve">Il software sviluppato (codice sorgente del sito, configurazioni, integrazioni) e l’architettura tecnica restano di proprietà di HeyAI, che concede al committente una licenza d’uso perpetua, non esclusiva e non trasferibile per l’utilizzo nell’ambito di Angelini Academy. La licenza include le attività di gestione ordinaria dei contenuti tramite il sistema di gestione fornito.</w:t>
      </w:r>
    </w:p>
    <w:p>
      <w:pPr>
        <w:pStyle w:val="Heading2"/>
        <w:spacing w:after="120" w:before="240"/>
      </w:pPr>
      <w:r>
        <w:rPr>
          <w:rFonts w:ascii="Aptos" w:cs="Aptos" w:eastAsia="Aptos" w:hAnsi="Aptos"/>
          <w:b/>
          <w:bCs/>
          <w:color w:val="000000"/>
          <w:sz w:val="24"/>
          <w:szCs w:val="24"/>
        </w:rPr>
        <w:t xml:space="preserve">7.3 Modello di evoluzione — Full ownership</w:t>
      </w:r>
    </w:p>
    <w:p>
      <w:pPr>
        <w:spacing w:after="80" w:before="60"/>
        <w:jc w:val="both"/>
      </w:pPr>
      <w:r>
        <w:rPr>
          <w:rFonts w:ascii="Aptos" w:cs="Aptos" w:eastAsia="Aptos" w:hAnsi="Aptos"/>
          <w:color w:val="1A1A1A"/>
          <w:sz w:val="22"/>
          <w:szCs w:val="22"/>
        </w:rPr>
        <w:t xml:space="preserve">Su richiesta del committente, è possibile negoziare il trasferimento completo della proprietà del software e dell’architettura (full ownership), con clausole specifiche relative a continuità del supporto, accesso al know-how e formazione tecnica. Il modello di trasferimento completo è oggetto di accordo separato e quotazione dedicata.</w:t>
      </w:r>
    </w:p>
    <w:p>
      <w:pPr>
        <w:pStyle w:val="Heading1"/>
        <w:pageBreakBefore/>
        <w:spacing w:after="200" w:before="360"/>
      </w:pPr>
      <w:r>
        <w:rPr>
          <w:rFonts w:ascii="Aptos" w:cs="Aptos" w:eastAsia="Aptos" w:hAnsi="Aptos"/>
          <w:b/>
          <w:bCs/>
          <w:color w:val="000000"/>
          <w:sz w:val="32"/>
          <w:szCs w:val="32"/>
        </w:rPr>
        <w:t xml:space="preserve">8. Investimento</w:t>
      </w:r>
    </w:p>
    <w:p>
      <w:pPr>
        <w:spacing w:after="80" w:before="60"/>
        <w:jc w:val="both"/>
      </w:pPr>
      <w:r>
        <w:rPr>
          <w:rFonts w:ascii="Aptos" w:cs="Aptos" w:eastAsia="Aptos" w:hAnsi="Aptos"/>
          <w:color w:val="1A1A1A"/>
          <w:sz w:val="22"/>
          <w:szCs w:val="22"/>
        </w:rPr>
        <w:t xml:space="preserve">L’investimento è articolato in quattro aree (P1, P2, P3, P4), modulari e acquistabili separatamente o in combinazione. Le sezioni che seguono presentano la struttura economica complessiva, le voci incluse e quelle escluse.</w:t>
      </w:r>
    </w:p>
    <w:p>
      <w:pPr>
        <w:pStyle w:val="Heading2"/>
        <w:spacing w:after="120" w:before="240"/>
      </w:pPr>
      <w:r>
        <w:rPr>
          <w:rFonts w:ascii="Aptos" w:cs="Aptos" w:eastAsia="Aptos" w:hAnsi="Aptos"/>
          <w:b/>
          <w:bCs/>
          <w:color w:val="000000"/>
          <w:sz w:val="24"/>
          <w:szCs w:val="24"/>
        </w:rPr>
        <w:t xml:space="preserve">8.1 Modello commerciale</w:t>
      </w:r>
    </w:p>
    <w:p>
      <w:pPr>
        <w:pStyle w:val="ListParagraph"/>
        <w:numPr>
          <w:ilvl w:val="0"/>
          <w:numId w:val="2"/>
        </w:numPr>
        <w:spacing w:after="40" w:before="40"/>
      </w:pPr>
      <w:r>
        <w:rPr>
          <w:rFonts w:ascii="Aptos" w:cs="Aptos" w:eastAsia="Aptos" w:hAnsi="Aptos"/>
          <w:color w:val="1A1A1A"/>
          <w:sz w:val="22"/>
          <w:szCs w:val="22"/>
        </w:rPr>
        <w:t xml:space="preserve">Progetti per fase: prezzo fisso a forfait per il riallineamento del sito attuale, per il sito nuovo e per i moduli aggiuntivi opzionali.</w:t>
      </w:r>
    </w:p>
    <w:p>
      <w:pPr>
        <w:pStyle w:val="ListParagraph"/>
        <w:numPr>
          <w:ilvl w:val="0"/>
          <w:numId w:val="2"/>
        </w:numPr>
        <w:spacing w:after="40" w:before="40"/>
      </w:pPr>
      <w:r>
        <w:rPr>
          <w:rFonts w:ascii="Aptos" w:cs="Aptos" w:eastAsia="Aptos" w:hAnsi="Aptos"/>
          <w:color w:val="1A1A1A"/>
          <w:sz w:val="22"/>
          <w:szCs w:val="22"/>
        </w:rPr>
        <w:t xml:space="preserve">Continuativo mensile: canone fisso per la creazione contenuti, la gestione LinkedIn, l’email marketing. Lock-in minimo raccomandato 6 mesi, con sconto progressivo per impegni di 12 e 24 mesi.</w:t>
      </w:r>
    </w:p>
    <w:p>
      <w:pPr>
        <w:pStyle w:val="ListParagraph"/>
        <w:numPr>
          <w:ilvl w:val="0"/>
          <w:numId w:val="2"/>
        </w:numPr>
        <w:spacing w:after="40" w:before="40"/>
      </w:pPr>
      <w:r>
        <w:rPr>
          <w:rFonts w:ascii="Aptos" w:cs="Aptos" w:eastAsia="Aptos" w:hAnsi="Aptos"/>
          <w:color w:val="1A1A1A"/>
          <w:sz w:val="22"/>
          <w:szCs w:val="22"/>
        </w:rPr>
        <w:t xml:space="preserve">On-demand: voci attivate al bisogno (sviluppo rete accademica, accompagnamento bandi europei, integrazioni esterne, kit comunicazione).</w:t>
      </w:r>
    </w:p>
    <w:p>
      <w:pPr>
        <w:pStyle w:val="ListParagraph"/>
        <w:numPr>
          <w:ilvl w:val="0"/>
          <w:numId w:val="2"/>
        </w:numPr>
        <w:spacing w:after="40" w:before="40"/>
      </w:pPr>
      <w:r>
        <w:rPr>
          <w:rFonts w:ascii="Aptos" w:cs="Aptos" w:eastAsia="Aptos" w:hAnsi="Aptos"/>
          <w:color w:val="1A1A1A"/>
          <w:sz w:val="22"/>
          <w:szCs w:val="22"/>
        </w:rPr>
        <w:t xml:space="preserve">Sconto bundle: in caso di firma congiunta della Fase 1 e della Fase 2, sconto del 5% sulla Fase 2. In caso di firma del bundle completo (Fase 1 + Fase 2 + Fase 3), sconto ulteriore del 10% sulla Fase 3.</w:t>
      </w:r>
    </w:p>
    <w:p>
      <w:pPr>
        <w:pStyle w:val="Heading2"/>
        <w:spacing w:after="120" w:before="240"/>
      </w:pPr>
      <w:r>
        <w:rPr>
          <w:rFonts w:ascii="Aptos" w:cs="Aptos" w:eastAsia="Aptos" w:hAnsi="Aptos"/>
          <w:b/>
          <w:bCs/>
          <w:color w:val="000000"/>
          <w:sz w:val="24"/>
          <w:szCs w:val="24"/>
        </w:rPr>
        <w:t xml:space="preserve">8.2 P1 — Sito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26"/>
        <w:gridCol w:w="2000"/>
      </w:tblGrid>
      <w:tr>
        <w:trPr>
          <w:tblHeader/>
        </w:trPr>
        <w:tc>
          <w:tcPr>
            <w:tcW w:type="dxa" w:w="45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Voce</w:t>
            </w:r>
          </w:p>
        </w:tc>
        <w:tc>
          <w:tcPr>
            <w:tcW w:type="dxa" w:w="2526"/>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Investimento</w:t>
            </w:r>
          </w:p>
        </w:tc>
        <w:tc>
          <w:tcPr>
            <w:tcW w:type="dxa" w:w="20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Tempistiche</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Riallineamento sito attuale (Fase 1)</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€ 6.000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2-3 settimane</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Sito web pubblico nuovo (Fase 2 — nucleo)</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€ 28.000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4-5 mesi</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Studio strategico Customer Journey e analisi di mercato</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€ 4.000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Pre-Fase 2</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Capability di Intelligenza Artificiale (4 MVP verticali)</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€ 29.000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Durante Fase 2</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Area Riservata Dipendenti — Versione Semplice</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€ 8.000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Durante Fase 2</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Area Riservata Dipendenti — Versione Avanzata (upgrade)</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€ 15.000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Durante Fase 2</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Community Engaged Network (Fase 3)</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€ 20.000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3-4 mesi</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Analytics e Dashboard team interno</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€ 4.500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Durante Fase 2</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Landing eventi pubblici</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Da € 5.000 a € 10.000 per landing</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On-demand</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Landing eventi interni (richiede Area Riservata)</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Da € 5.000 a € 10.000 per landing</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On-demand</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SEO avanzata e topic authority</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€ 5.000 una tantum</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Add-on</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Accessibility WCAG 2.1 AA / European Accessibility Act</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€ 3.500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Add-on</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Analytics setup GA4 / Plausible</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€ 3.000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Add-on</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Integrazione tecnica email marketing</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€ 2.500</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Add-on</w:t>
            </w:r>
          </w:p>
        </w:tc>
      </w:tr>
    </w:tbl>
    <w:p>
      <w:pPr>
        <w:spacing w:after="80" w:before="100"/>
      </w:pPr>
      <w:r>
        <w:rPr>
          <w:rFonts w:ascii="Aptos" w:cs="Aptos" w:eastAsia="Aptos" w:hAnsi="Aptos"/>
          <w:i/>
          <w:iCs/>
          <w:color w:val="606060"/>
          <w:sz w:val="18"/>
          <w:szCs w:val="18"/>
        </w:rPr>
        <w:t xml:space="preserve">Importi al netto di IVA. Sconti bundle applicabili come da sezione 8.1. Per la richiesta di 4 o più moduli aggiuntivi sulla Fase 2, sconto progressivo del 10% sui moduli stessi.</w:t>
      </w:r>
    </w:p>
    <w:p>
      <w:pPr>
        <w:pStyle w:val="Heading2"/>
        <w:spacing w:after="120" w:before="240"/>
      </w:pPr>
      <w:r>
        <w:rPr>
          <w:rFonts w:ascii="Aptos" w:cs="Aptos" w:eastAsia="Aptos" w:hAnsi="Aptos"/>
          <w:b/>
          <w:bCs/>
          <w:color w:val="000000"/>
          <w:sz w:val="24"/>
          <w:szCs w:val="24"/>
        </w:rPr>
        <w:t xml:space="preserve">8.3 P2 — Editoriale, Social e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26"/>
        <w:gridCol w:w="2000"/>
      </w:tblGrid>
      <w:tr>
        <w:trPr>
          <w:tblHeader/>
        </w:trPr>
        <w:tc>
          <w:tcPr>
            <w:tcW w:type="dxa" w:w="45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Voce</w:t>
            </w:r>
          </w:p>
        </w:tc>
        <w:tc>
          <w:tcPr>
            <w:tcW w:type="dxa" w:w="2526"/>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Modalità</w:t>
            </w:r>
          </w:p>
        </w:tc>
        <w:tc>
          <w:tcPr>
            <w:tcW w:type="dxa" w:w="20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Investimento</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Workshop iniziale creazione contenuti</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Una tantum, pre-Fase 2</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Da € 8.000 a € 12.000</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Creazione contenuti e regia editoriale</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Canone mensile</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€ 3.000 / mese</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Project management e operations</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Incluso di default</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Compreso nel canone</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Gestione LinkedIn Academy (organica e paid)</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Canone mensile</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€ 4.500 / mese</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Email marketing — Setup</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Una tantum</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€ 3.500</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Email marketing — Continuativo</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Canone mensile</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€ 1.500 / mese</w:t>
            </w:r>
          </w:p>
        </w:tc>
      </w:tr>
      <w:tr>
        <w:tc>
          <w:tcPr>
            <w:tcW w:type="dxa" w:w="4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Integrazioni esterne (CRM, gateway pagamento)</w:t>
            </w:r>
          </w:p>
        </w:tc>
        <w:tc>
          <w:tcPr>
            <w:tcW w:type="dxa" w:w="2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On-demand</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Su quotazione su richiesta</w:t>
            </w:r>
          </w:p>
        </w:tc>
      </w:tr>
    </w:tbl>
    <w:p>
      <w:pPr>
        <w:spacing w:after="80" w:before="100"/>
      </w:pPr>
      <w:r>
        <w:rPr>
          <w:rFonts w:ascii="Aptos" w:cs="Aptos" w:eastAsia="Aptos" w:hAnsi="Aptos"/>
          <w:i/>
          <w:iCs/>
          <w:color w:val="606060"/>
          <w:sz w:val="18"/>
          <w:szCs w:val="18"/>
        </w:rPr>
        <w:t xml:space="preserve">Importi al netto di IVA. Budget media per campagne paid LinkedIn ed eventuali altre piattaforme è a carico diretto del committente, separato dal canone di gestione. Lock-in mensile minimo raccomandato 6 mesi; sconto 5% per impegno 12 mesi, sconto 10% per impegno 24 mesi sul canone continuativo.</w:t>
      </w:r>
    </w:p>
    <w:p>
      <w:pPr>
        <w:pStyle w:val="Heading2"/>
        <w:spacing w:after="120" w:before="240"/>
      </w:pPr>
      <w:r>
        <w:rPr>
          <w:rFonts w:ascii="Aptos" w:cs="Aptos" w:eastAsia="Aptos" w:hAnsi="Aptos"/>
          <w:b/>
          <w:bCs/>
          <w:color w:val="000000"/>
          <w:sz w:val="24"/>
          <w:szCs w:val="24"/>
        </w:rPr>
        <w:t xml:space="preserve">8.4 P3 — Rete accademica e finanza agevolata (FuturItaly)</w:t>
      </w:r>
    </w:p>
    <w:p>
      <w:pPr>
        <w:spacing w:after="80" w:before="60"/>
        <w:jc w:val="both"/>
      </w:pPr>
      <w:r>
        <w:rPr>
          <w:rFonts w:ascii="Aptos" w:cs="Aptos" w:eastAsia="Aptos" w:hAnsi="Aptos"/>
          <w:color w:val="1A1A1A"/>
          <w:sz w:val="22"/>
          <w:szCs w:val="22"/>
        </w:rPr>
        <w:t xml:space="preserve">Le attività di sviluppo rete accademica internazionale e di pre-screening e accompagnamento alla candidatura sui bandi di finanza agevolata europea sono gestite dal nostro partner FuturItaly. La quotazione dedicata per queste attività verrà fornita da FuturItaly come allegato dedicato a questa proposta.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Voce</w:t>
            </w:r>
          </w:p>
        </w:tc>
        <w:tc>
          <w:tcPr>
            <w:tcW w:type="dxa" w:w="4026"/>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Cosa include</w:t>
            </w:r>
          </w:p>
        </w:tc>
        <w:tc>
          <w:tcPr>
            <w:tcW w:type="dxa" w:w="20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Quotazione</w:t>
            </w:r>
          </w:p>
        </w:tc>
      </w:tr>
      <w:tr>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Sviluppo contatti accademici — prima ondata</w:t>
            </w:r>
          </w:p>
        </w:tc>
        <w:tc>
          <w:tcPr>
            <w:tcW w:type="dxa" w:w="40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9 atenei prioritari in Italia, Germania, Belgio e Regno Unito</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Da definire — FuturItaly</w:t>
            </w:r>
          </w:p>
        </w:tc>
      </w:tr>
      <w:tr>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Sviluppo contatti accademici — seconda ondata</w:t>
            </w:r>
          </w:p>
        </w:tc>
        <w:tc>
          <w:tcPr>
            <w:tcW w:type="dxa" w:w="40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4 atenei in Stati Uniti e Cina</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Da definire — FuturItaly</w:t>
            </w:r>
          </w:p>
        </w:tc>
      </w:tr>
      <w:tr>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Accompagnamento candidatura bandi europei</w:t>
            </w:r>
          </w:p>
        </w:tc>
        <w:tc>
          <w:tcPr>
            <w:tcW w:type="dxa" w:w="40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5 bandi mappati (Horizon MSCA, Doctoral Networks, RIA, Erasmus+)</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Da definire — FuturItaly</w:t>
            </w:r>
          </w:p>
        </w:tc>
      </w:tr>
    </w:tbl>
    <w:p>
      <w:pPr>
        <w:pStyle w:val="Heading2"/>
        <w:spacing w:after="120" w:before="240"/>
      </w:pPr>
      <w:r>
        <w:rPr>
          <w:rFonts w:ascii="Aptos" w:cs="Aptos" w:eastAsia="Aptos" w:hAnsi="Aptos"/>
          <w:b/>
          <w:bCs/>
          <w:color w:val="000000"/>
          <w:sz w:val="24"/>
          <w:szCs w:val="24"/>
        </w:rPr>
        <w:t xml:space="preserve">8.5 P4 — Kit di comunicazione esterna</w:t>
      </w:r>
    </w:p>
    <w:p>
      <w:pPr>
        <w:spacing w:after="80" w:before="60"/>
        <w:jc w:val="both"/>
      </w:pPr>
      <w:r>
        <w:rPr>
          <w:rFonts w:ascii="Aptos" w:cs="Aptos" w:eastAsia="Aptos" w:hAnsi="Aptos"/>
          <w:color w:val="1A1A1A"/>
          <w:sz w:val="22"/>
          <w:szCs w:val="22"/>
        </w:rPr>
        <w:t xml:space="preserve">Le attività di concept creativo per video promozionale, design brochure presentazione e scouting gadget personalizzati sono mantenute nella proposta come opzionali, in coerenza con il brief gara ricevuto, e sono disponibili su richiesta con quotazione dedicata.</w:t>
      </w:r>
    </w:p>
    <w:p>
      <w:pPr>
        <w:pStyle w:val="ListParagraph"/>
        <w:numPr>
          <w:ilvl w:val="0"/>
          <w:numId w:val="2"/>
        </w:numPr>
        <w:spacing w:after="40" w:before="40"/>
      </w:pPr>
      <w:r>
        <w:rPr>
          <w:rFonts w:ascii="Aptos" w:cs="Aptos" w:eastAsia="Aptos" w:hAnsi="Aptos"/>
          <w:color w:val="1A1A1A"/>
          <w:sz w:val="22"/>
          <w:szCs w:val="22"/>
        </w:rPr>
        <w:t xml:space="preserve">Concept creativo video promozionale Academy: regia e storyboard, esecuzione esterna affidata a fornitore dedicato.</w:t>
      </w:r>
    </w:p>
    <w:p>
      <w:pPr>
        <w:pStyle w:val="ListParagraph"/>
        <w:numPr>
          <w:ilvl w:val="0"/>
          <w:numId w:val="2"/>
        </w:numPr>
        <w:spacing w:after="40" w:before="40"/>
      </w:pPr>
      <w:r>
        <w:rPr>
          <w:rFonts w:ascii="Aptos" w:cs="Aptos" w:eastAsia="Aptos" w:hAnsi="Aptos"/>
          <w:color w:val="1A1A1A"/>
          <w:sz w:val="22"/>
          <w:szCs w:val="22"/>
        </w:rPr>
        <w:t xml:space="preserve">Concept design brochure presentazione: layout e impostazione grafica, stampa esterna.</w:t>
      </w:r>
    </w:p>
    <w:p>
      <w:pPr>
        <w:pStyle w:val="ListParagraph"/>
        <w:numPr>
          <w:ilvl w:val="0"/>
          <w:numId w:val="2"/>
        </w:numPr>
        <w:spacing w:after="40" w:before="40"/>
      </w:pPr>
      <w:r>
        <w:rPr>
          <w:rFonts w:ascii="Aptos" w:cs="Aptos" w:eastAsia="Aptos" w:hAnsi="Aptos"/>
          <w:color w:val="1A1A1A"/>
          <w:sz w:val="22"/>
          <w:szCs w:val="22"/>
        </w:rPr>
        <w:t xml:space="preserve">Concept scouting gadget personalizzati: ricerca fornitori, proposta concept, produzione esterna.</w:t>
      </w:r>
    </w:p>
    <w:p>
      <w:pPr>
        <w:spacing w:after="80" w:before="100"/>
      </w:pPr>
      <w:r>
        <w:rPr>
          <w:rFonts w:ascii="Aptos" w:cs="Aptos" w:eastAsia="Aptos" w:hAnsi="Aptos"/>
          <w:i/>
          <w:iCs/>
          <w:color w:val="606060"/>
          <w:sz w:val="18"/>
          <w:szCs w:val="18"/>
        </w:rPr>
        <w:t xml:space="preserve">Quotazione dedicata per il kit di comunicazione esterna fornita su richiesta del committente, in coerenza con l’eventuale decisione di affidare la produzione a fornitori dedicati già presenti nel suo ecosistema.</w:t>
      </w:r>
    </w:p>
    <w:p>
      <w:pPr>
        <w:pStyle w:val="Heading2"/>
        <w:spacing w:after="120" w:before="240"/>
      </w:pPr>
      <w:r>
        <w:rPr>
          <w:rFonts w:ascii="Aptos" w:cs="Aptos" w:eastAsia="Aptos" w:hAnsi="Aptos"/>
          <w:b/>
          <w:bCs/>
          <w:color w:val="000000"/>
          <w:sz w:val="24"/>
          <w:szCs w:val="24"/>
        </w:rPr>
        <w:t xml:space="preserve">8.6 Cosa è incluso nei pacchetti</w:t>
      </w:r>
    </w:p>
    <w:p>
      <w:pPr>
        <w:pStyle w:val="ListParagraph"/>
        <w:numPr>
          <w:ilvl w:val="0"/>
          <w:numId w:val="2"/>
        </w:numPr>
        <w:spacing w:after="40" w:before="40"/>
      </w:pPr>
      <w:r>
        <w:rPr>
          <w:rFonts w:ascii="Aptos" w:cs="Aptos" w:eastAsia="Aptos" w:hAnsi="Aptos"/>
          <w:color w:val="1A1A1A"/>
          <w:sz w:val="22"/>
          <w:szCs w:val="22"/>
        </w:rPr>
        <w:t xml:space="preserve">Sviluppo, design e configurazione del sito web e dei moduli scelti.</w:t>
      </w:r>
    </w:p>
    <w:p>
      <w:pPr>
        <w:pStyle w:val="ListParagraph"/>
        <w:numPr>
          <w:ilvl w:val="0"/>
          <w:numId w:val="2"/>
        </w:numPr>
        <w:spacing w:after="40" w:before="40"/>
      </w:pPr>
      <w:r>
        <w:rPr>
          <w:rFonts w:ascii="Aptos" w:cs="Aptos" w:eastAsia="Aptos" w:hAnsi="Aptos"/>
          <w:color w:val="1A1A1A"/>
          <w:sz w:val="22"/>
          <w:szCs w:val="22"/>
        </w:rPr>
        <w:t xml:space="preserve">Sistema di gestione contenuti dedicato con formazione del team interno del committente.</w:t>
      </w:r>
    </w:p>
    <w:p>
      <w:pPr>
        <w:pStyle w:val="ListParagraph"/>
        <w:numPr>
          <w:ilvl w:val="0"/>
          <w:numId w:val="2"/>
        </w:numPr>
        <w:spacing w:after="40" w:before="40"/>
      </w:pPr>
      <w:r>
        <w:rPr>
          <w:rFonts w:ascii="Aptos" w:cs="Aptos" w:eastAsia="Aptos" w:hAnsi="Aptos"/>
          <w:color w:val="1A1A1A"/>
          <w:sz w:val="22"/>
          <w:szCs w:val="22"/>
        </w:rPr>
        <w:t xml:space="preserve">Bilinguismo italiano/inglese integrato nel nucleo del sito nuovo.</w:t>
      </w:r>
    </w:p>
    <w:p>
      <w:pPr>
        <w:pStyle w:val="ListParagraph"/>
        <w:numPr>
          <w:ilvl w:val="0"/>
          <w:numId w:val="2"/>
        </w:numPr>
        <w:spacing w:after="40" w:before="40"/>
      </w:pPr>
      <w:r>
        <w:rPr>
          <w:rFonts w:ascii="Aptos" w:cs="Aptos" w:eastAsia="Aptos" w:hAnsi="Aptos"/>
          <w:color w:val="1A1A1A"/>
          <w:sz w:val="22"/>
          <w:szCs w:val="22"/>
        </w:rPr>
        <w:t xml:space="preserve">Hosting in ambiente di produzione per il primo anno dalla messa in linea (rinnovo annuale separato).</w:t>
      </w:r>
    </w:p>
    <w:p>
      <w:pPr>
        <w:pStyle w:val="ListParagraph"/>
        <w:numPr>
          <w:ilvl w:val="0"/>
          <w:numId w:val="2"/>
        </w:numPr>
        <w:spacing w:after="40" w:before="40"/>
      </w:pPr>
      <w:r>
        <w:rPr>
          <w:rFonts w:ascii="Aptos" w:cs="Aptos" w:eastAsia="Aptos" w:hAnsi="Aptos"/>
          <w:color w:val="1A1A1A"/>
          <w:sz w:val="22"/>
          <w:szCs w:val="22"/>
        </w:rPr>
        <w:t xml:space="preserve">Test cross-browser, ottimizzazione performance, gestione cookie e privacy conformi al regolamento europeo.</w:t>
      </w:r>
    </w:p>
    <w:p>
      <w:pPr>
        <w:pStyle w:val="ListParagraph"/>
        <w:numPr>
          <w:ilvl w:val="0"/>
          <w:numId w:val="2"/>
        </w:numPr>
        <w:spacing w:after="40" w:before="40"/>
      </w:pPr>
      <w:r>
        <w:rPr>
          <w:rFonts w:ascii="Aptos" w:cs="Aptos" w:eastAsia="Aptos" w:hAnsi="Aptos"/>
          <w:color w:val="1A1A1A"/>
          <w:sz w:val="22"/>
          <w:szCs w:val="22"/>
        </w:rPr>
        <w:t xml:space="preserve">Project management e coordinamento operativo incluso nelle attività continuative.</w:t>
      </w:r>
    </w:p>
    <w:p>
      <w:pPr>
        <w:pStyle w:val="ListParagraph"/>
        <w:numPr>
          <w:ilvl w:val="0"/>
          <w:numId w:val="2"/>
        </w:numPr>
        <w:spacing w:after="40" w:before="40"/>
      </w:pPr>
      <w:r>
        <w:rPr>
          <w:rFonts w:ascii="Aptos" w:cs="Aptos" w:eastAsia="Aptos" w:hAnsi="Aptos"/>
          <w:color w:val="1A1A1A"/>
          <w:sz w:val="22"/>
          <w:szCs w:val="22"/>
        </w:rPr>
        <w:t xml:space="preserve">Allineamenti settimanali con il referente del committente durante le fasi attive di delivery.</w:t>
      </w:r>
    </w:p>
    <w:p>
      <w:pPr>
        <w:pStyle w:val="Heading2"/>
        <w:spacing w:after="120" w:before="240"/>
      </w:pPr>
      <w:r>
        <w:rPr>
          <w:rFonts w:ascii="Aptos" w:cs="Aptos" w:eastAsia="Aptos" w:hAnsi="Aptos"/>
          <w:b/>
          <w:bCs/>
          <w:color w:val="000000"/>
          <w:sz w:val="24"/>
          <w:szCs w:val="24"/>
        </w:rPr>
        <w:t xml:space="preserve">8.7 Cosa NON è incluso</w:t>
      </w:r>
    </w:p>
    <w:p>
      <w:pPr>
        <w:pStyle w:val="ListParagraph"/>
        <w:numPr>
          <w:ilvl w:val="0"/>
          <w:numId w:val="2"/>
        </w:numPr>
        <w:spacing w:after="40" w:before="40"/>
      </w:pPr>
      <w:r>
        <w:rPr>
          <w:rFonts w:ascii="Aptos" w:cs="Aptos" w:eastAsia="Aptos" w:hAnsi="Aptos"/>
          <w:color w:val="1A1A1A"/>
          <w:sz w:val="22"/>
          <w:szCs w:val="22"/>
        </w:rPr>
        <w:t xml:space="preserve">Acquisto licenze software di terze parti per strumenti dedicati (CRM, piattaforma email, gateway di pagamento) — restano in capo al committente, con eventuale supporto consulenziale per la scelta.</w:t>
      </w:r>
    </w:p>
    <w:p>
      <w:pPr>
        <w:pStyle w:val="ListParagraph"/>
        <w:numPr>
          <w:ilvl w:val="0"/>
          <w:numId w:val="2"/>
        </w:numPr>
        <w:spacing w:after="40" w:before="40"/>
      </w:pPr>
      <w:r>
        <w:rPr>
          <w:rFonts w:ascii="Aptos" w:cs="Aptos" w:eastAsia="Aptos" w:hAnsi="Aptos"/>
          <w:color w:val="1A1A1A"/>
          <w:sz w:val="22"/>
          <w:szCs w:val="22"/>
        </w:rPr>
        <w:t xml:space="preserve">Budget media per campagne paid LinkedIn ed eventuali altre piattaforme — a carico diretto del committente.</w:t>
      </w:r>
    </w:p>
    <w:p>
      <w:pPr>
        <w:pStyle w:val="ListParagraph"/>
        <w:numPr>
          <w:ilvl w:val="0"/>
          <w:numId w:val="2"/>
        </w:numPr>
        <w:spacing w:after="40" w:before="40"/>
      </w:pPr>
      <w:r>
        <w:rPr>
          <w:rFonts w:ascii="Aptos" w:cs="Aptos" w:eastAsia="Aptos" w:hAnsi="Aptos"/>
          <w:color w:val="1A1A1A"/>
          <w:sz w:val="22"/>
          <w:szCs w:val="22"/>
        </w:rPr>
        <w:t xml:space="preserve">Produzione esecutiva di video, brochure stampate e gadget — affidata a fornitori esterni del committente o quotata separatamente.</w:t>
      </w:r>
    </w:p>
    <w:p>
      <w:pPr>
        <w:pStyle w:val="ListParagraph"/>
        <w:numPr>
          <w:ilvl w:val="0"/>
          <w:numId w:val="2"/>
        </w:numPr>
        <w:spacing w:after="40" w:before="40"/>
      </w:pPr>
      <w:r>
        <w:rPr>
          <w:rFonts w:ascii="Aptos" w:cs="Aptos" w:eastAsia="Aptos" w:hAnsi="Aptos"/>
          <w:color w:val="1A1A1A"/>
          <w:sz w:val="22"/>
          <w:szCs w:val="22"/>
        </w:rPr>
        <w:t xml:space="preserve">Sviluppo di funzionalità non previste nella proposta — gestite tramite richieste di modifica (Change Request) con quotazione dedicata.</w:t>
      </w:r>
    </w:p>
    <w:p>
      <w:pPr>
        <w:pStyle w:val="ListParagraph"/>
        <w:numPr>
          <w:ilvl w:val="0"/>
          <w:numId w:val="2"/>
        </w:numPr>
        <w:spacing w:after="40" w:before="40"/>
      </w:pPr>
      <w:r>
        <w:rPr>
          <w:rFonts w:ascii="Aptos" w:cs="Aptos" w:eastAsia="Aptos" w:hAnsi="Aptos"/>
          <w:color w:val="1A1A1A"/>
          <w:sz w:val="22"/>
          <w:szCs w:val="22"/>
        </w:rPr>
        <w:t xml:space="preserve">Rinnovo hosting e manutenzione tecnica oltre il primo anno — quotati separatamente con canone annuale dedicato.</w:t>
      </w:r>
    </w:p>
    <w:p>
      <w:pPr>
        <w:pStyle w:val="Heading1"/>
        <w:pageBreakBefore/>
        <w:spacing w:after="200" w:before="360"/>
      </w:pPr>
      <w:r>
        <w:rPr>
          <w:rFonts w:ascii="Aptos" w:cs="Aptos" w:eastAsia="Aptos" w:hAnsi="Aptos"/>
          <w:b/>
          <w:bCs/>
          <w:color w:val="000000"/>
          <w:sz w:val="32"/>
          <w:szCs w:val="32"/>
        </w:rPr>
        <w:t xml:space="preserve">9. Funzionalità Evolutive Add-on</w:t>
      </w:r>
    </w:p>
    <w:p>
      <w:pPr>
        <w:spacing w:after="80" w:before="60"/>
        <w:jc w:val="both"/>
      </w:pPr>
      <w:r>
        <w:rPr>
          <w:rFonts w:ascii="Aptos" w:cs="Aptos" w:eastAsia="Aptos" w:hAnsi="Aptos"/>
          <w:color w:val="1A1A1A"/>
          <w:sz w:val="22"/>
          <w:szCs w:val="22"/>
        </w:rPr>
        <w:t xml:space="preserve">Oltre al nucleo del sito e ai moduli principali, sono disponibili add-on evolutivi che possono essere attivati in qualsiasi momento durante o dopo la Fase 2. Ciascun add-on è acquistabile separatamente e segue una logica di pricing modulare.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8C96" w:sz="4"/>
              <w:left w:val="single" w:color="2B8C96" w:sz="4"/>
              <w:bottom w:val="single" w:color="2B8C96" w:sz="4"/>
              <w:right w:val="single" w:color="2B8C96" w:sz="4"/>
            </w:tcBorders>
            <w:shd w:fill="E8F4F6" w:val="clear"/>
            <w:tcMar>
              <w:top w:type="dxa" w:w="120"/>
              <w:left w:type="dxa" w:w="200"/>
              <w:bottom w:type="dxa" w:w="120"/>
              <w:right w:type="dxa" w:w="200"/>
            </w:tcMar>
          </w:tcPr>
          <w:p>
            <w:pPr>
              <w:spacing w:after="100" w:before="0"/>
            </w:pPr>
            <w:r>
              <w:rPr>
                <w:rFonts w:ascii="Aptos" w:cs="Aptos" w:eastAsia="Aptos" w:hAnsi="Aptos"/>
                <w:b/>
                <w:bCs/>
                <w:color w:val="2B8C96"/>
                <w:sz w:val="22"/>
                <w:szCs w:val="22"/>
              </w:rPr>
              <w:t xml:space="preserve">Logica di vendita raccomandata</w:t>
            </w:r>
          </w:p>
          <w:p>
            <w:pPr>
              <w:spacing w:after="40" w:before="40"/>
            </w:pPr>
            <w:r>
              <w:rPr>
                <w:rFonts w:ascii="Aptos" w:cs="Aptos" w:eastAsia="Aptos" w:hAnsi="Aptos"/>
                <w:color w:val="1A1A1A"/>
                <w:sz w:val="22"/>
                <w:szCs w:val="22"/>
              </w:rPr>
              <w:t xml:space="preserve">Nucleo P1.0 oppure P1.1 — l’oggetto principale dell’intervento sul sito.</w:t>
            </w:r>
          </w:p>
          <w:p>
            <w:pPr>
              <w:spacing w:after="40" w:before="40"/>
            </w:pPr>
            <w:r>
              <w:rPr>
                <w:rFonts w:ascii="Aptos" w:cs="Aptos" w:eastAsia="Aptos" w:hAnsi="Aptos"/>
                <w:color w:val="1A1A1A"/>
                <w:sz w:val="22"/>
                <w:szCs w:val="22"/>
              </w:rPr>
              <w:t xml:space="preserve">Add-on modulari sul sito — Area Riservata, Community, Intelligenza Artificiale, Analytics, Landing eventi, SEO avanzata, Accessibility, Email integration.</w:t>
            </w:r>
          </w:p>
          <w:p>
            <w:pPr>
              <w:spacing w:after="40" w:before="40"/>
            </w:pPr>
            <w:r>
              <w:rPr>
                <w:rFonts w:ascii="Aptos" w:cs="Aptos" w:eastAsia="Aptos" w:hAnsi="Aptos"/>
                <w:color w:val="1A1A1A"/>
                <w:sz w:val="22"/>
                <w:szCs w:val="22"/>
              </w:rPr>
              <w:t xml:space="preserve">Continuativo P2 — Creazione contenuti, Gestione LinkedIn, Email marketing, Project management incluso di default.</w:t>
            </w:r>
          </w:p>
          <w:p>
            <w:pPr>
              <w:spacing w:after="40" w:before="40"/>
            </w:pPr>
            <w:r>
              <w:rPr>
                <w:rFonts w:ascii="Aptos" w:cs="Aptos" w:eastAsia="Aptos" w:hAnsi="Aptos"/>
                <w:color w:val="1A1A1A"/>
                <w:sz w:val="22"/>
                <w:szCs w:val="22"/>
              </w:rPr>
              <w:t xml:space="preserve">Servizio dedicato FuturItaly — Sviluppo rete accademica e accompagnamento bandi europei.</w:t>
            </w:r>
          </w:p>
          <w:p>
            <w:pPr>
              <w:spacing w:after="40" w:before="40"/>
            </w:pPr>
            <w:r>
              <w:rPr>
                <w:rFonts w:ascii="Aptos" w:cs="Aptos" w:eastAsia="Aptos" w:hAnsi="Aptos"/>
                <w:color w:val="1A1A1A"/>
                <w:sz w:val="22"/>
                <w:szCs w:val="22"/>
              </w:rPr>
              <w:t xml:space="preserve">Opzionale P4 — Kit di comunicazione esterna, attivabile su richiesta.</w:t>
            </w:r>
          </w:p>
        </w:tc>
      </w:tr>
    </w:tbl>
    <w:p>
      <w:pPr>
        <w:spacing w:after="80" w:before="60"/>
        <w:jc w:val="both"/>
      </w:pPr>
      <w:r>
        <w:rPr>
          <w:rFonts w:ascii="Aptos" w:cs="Aptos" w:eastAsia="Aptos" w:hAnsi="Aptos"/>
          <w:color w:val="1A1A1A"/>
          <w:sz w:val="22"/>
          <w:szCs w:val="22"/>
        </w:rPr>
        <w:t xml:space="preserve">L’articolazione modulare permette al committente di calibrare l’ampiezza dell’intervento sulla base delle priorità reali e di evolvere il sistema nel tempo, attivando moduli aggiuntivi senza dover ristrutturare l’architettura di base.</w:t>
      </w:r>
    </w:p>
    <w:p>
      <w:pPr>
        <w:pStyle w:val="Heading1"/>
        <w:pageBreakBefore/>
        <w:spacing w:after="200" w:before="360"/>
      </w:pPr>
      <w:r>
        <w:rPr>
          <w:rFonts w:ascii="Aptos" w:cs="Aptos" w:eastAsia="Aptos" w:hAnsi="Aptos"/>
          <w:b/>
          <w:bCs/>
          <w:color w:val="000000"/>
          <w:sz w:val="32"/>
          <w:szCs w:val="32"/>
        </w:rPr>
        <w:t xml:space="preserve">10. Modalità di Pagamento</w:t>
      </w:r>
    </w:p>
    <w:p>
      <w:pPr>
        <w:spacing w:after="80" w:before="60"/>
        <w:jc w:val="both"/>
      </w:pPr>
      <w:r>
        <w:rPr>
          <w:rFonts w:ascii="Aptos" w:cs="Aptos" w:eastAsia="Aptos" w:hAnsi="Aptos"/>
          <w:color w:val="1A1A1A"/>
          <w:sz w:val="22"/>
          <w:szCs w:val="22"/>
        </w:rPr>
        <w:t xml:space="preserve">I termini di pagamento sono articolati per fase progettuale e per servizio continuativo, secondo lo schema seguente.</w:t>
      </w:r>
    </w:p>
    <w:p>
      <w:pPr>
        <w:pStyle w:val="Heading2"/>
        <w:spacing w:after="120" w:before="240"/>
      </w:pPr>
      <w:r>
        <w:rPr>
          <w:rFonts w:ascii="Aptos" w:cs="Aptos" w:eastAsia="Aptos" w:hAnsi="Aptos"/>
          <w:b/>
          <w:bCs/>
          <w:color w:val="000000"/>
          <w:sz w:val="24"/>
          <w:szCs w:val="24"/>
        </w:rPr>
        <w:t xml:space="preserve">10.1 Progetti per fase</w:t>
      </w:r>
    </w:p>
    <w:p>
      <w:pPr>
        <w:pStyle w:val="ListParagraph"/>
        <w:numPr>
          <w:ilvl w:val="0"/>
          <w:numId w:val="2"/>
        </w:numPr>
        <w:spacing w:after="40" w:before="40"/>
      </w:pPr>
      <w:r>
        <w:rPr>
          <w:rFonts w:ascii="Aptos" w:cs="Aptos" w:eastAsia="Aptos" w:hAnsi="Aptos"/>
          <w:color w:val="1A1A1A"/>
          <w:sz w:val="22"/>
          <w:szCs w:val="22"/>
        </w:rPr>
        <w:t xml:space="preserve">35% all’accettazione della proposta e firma del contratto (kickoff).</w:t>
      </w:r>
    </w:p>
    <w:p>
      <w:pPr>
        <w:pStyle w:val="ListParagraph"/>
        <w:numPr>
          <w:ilvl w:val="0"/>
          <w:numId w:val="2"/>
        </w:numPr>
        <w:spacing w:after="40" w:before="40"/>
      </w:pPr>
      <w:r>
        <w:rPr>
          <w:rFonts w:ascii="Aptos" w:cs="Aptos" w:eastAsia="Aptos" w:hAnsi="Aptos"/>
          <w:color w:val="1A1A1A"/>
          <w:sz w:val="22"/>
          <w:szCs w:val="22"/>
        </w:rPr>
        <w:t xml:space="preserve">30% al raggiungimento del Minimum Viable Product di fase (consegna sito navigabile in ambiente di staging).</w:t>
      </w:r>
    </w:p>
    <w:p>
      <w:pPr>
        <w:pStyle w:val="ListParagraph"/>
        <w:numPr>
          <w:ilvl w:val="0"/>
          <w:numId w:val="2"/>
        </w:numPr>
        <w:spacing w:after="40" w:before="40"/>
      </w:pPr>
      <w:r>
        <w:rPr>
          <w:rFonts w:ascii="Aptos" w:cs="Aptos" w:eastAsia="Aptos" w:hAnsi="Aptos"/>
          <w:color w:val="1A1A1A"/>
          <w:sz w:val="22"/>
          <w:szCs w:val="22"/>
        </w:rPr>
        <w:t xml:space="preserve">35% alla consegna finale e go-live in produzione.</w:t>
      </w:r>
    </w:p>
    <w:p>
      <w:pPr>
        <w:spacing w:after="80" w:before="60"/>
        <w:jc w:val="both"/>
      </w:pPr>
      <w:r>
        <w:rPr>
          <w:rFonts w:ascii="Aptos" w:cs="Aptos" w:eastAsia="Aptos" w:hAnsi="Aptos"/>
          <w:color w:val="1A1A1A"/>
          <w:sz w:val="22"/>
          <w:szCs w:val="22"/>
        </w:rPr>
        <w:t xml:space="preserve">Lo schema 35/30/35 si applica indipendentemente per la Fase 1, per la Fase 2 e per la Fase 3, nel caso in cui siano firmate insieme. Eventuali moduli aggiuntivi attivati durante una fase vengono fatturati al go-live del modulo stesso.</w:t>
      </w:r>
    </w:p>
    <w:p>
      <w:pPr>
        <w:pStyle w:val="Heading2"/>
        <w:spacing w:after="120" w:before="240"/>
      </w:pPr>
      <w:r>
        <w:rPr>
          <w:rFonts w:ascii="Aptos" w:cs="Aptos" w:eastAsia="Aptos" w:hAnsi="Aptos"/>
          <w:b/>
          <w:bCs/>
          <w:color w:val="000000"/>
          <w:sz w:val="24"/>
          <w:szCs w:val="24"/>
        </w:rPr>
        <w:t xml:space="preserve">10.2 Servizi continuativi mensili</w:t>
      </w:r>
    </w:p>
    <w:p>
      <w:pPr>
        <w:pStyle w:val="ListParagraph"/>
        <w:numPr>
          <w:ilvl w:val="0"/>
          <w:numId w:val="2"/>
        </w:numPr>
        <w:spacing w:after="40" w:before="40"/>
      </w:pPr>
      <w:r>
        <w:rPr>
          <w:rFonts w:ascii="Aptos" w:cs="Aptos" w:eastAsia="Aptos" w:hAnsi="Aptos"/>
          <w:color w:val="1A1A1A"/>
          <w:sz w:val="22"/>
          <w:szCs w:val="22"/>
        </w:rPr>
        <w:t xml:space="preserve">Fatturazione mensile anticipata, entro il giorno 5 del mese.</w:t>
      </w:r>
    </w:p>
    <w:p>
      <w:pPr>
        <w:pStyle w:val="ListParagraph"/>
        <w:numPr>
          <w:ilvl w:val="0"/>
          <w:numId w:val="2"/>
        </w:numPr>
        <w:spacing w:after="40" w:before="40"/>
      </w:pPr>
      <w:r>
        <w:rPr>
          <w:rFonts w:ascii="Aptos" w:cs="Aptos" w:eastAsia="Aptos" w:hAnsi="Aptos"/>
          <w:color w:val="1A1A1A"/>
          <w:sz w:val="22"/>
          <w:szCs w:val="22"/>
        </w:rPr>
        <w:t xml:space="preserve">Termini di pagamento: 30 giorni data fattura.</w:t>
      </w:r>
    </w:p>
    <w:p>
      <w:pPr>
        <w:pStyle w:val="ListParagraph"/>
        <w:numPr>
          <w:ilvl w:val="0"/>
          <w:numId w:val="2"/>
        </w:numPr>
        <w:spacing w:after="40" w:before="40"/>
      </w:pPr>
      <w:r>
        <w:rPr>
          <w:rFonts w:ascii="Aptos" w:cs="Aptos" w:eastAsia="Aptos" w:hAnsi="Aptos"/>
          <w:color w:val="1A1A1A"/>
          <w:sz w:val="22"/>
          <w:szCs w:val="22"/>
        </w:rPr>
        <w:t xml:space="preserve">In caso di impegno annuale (12 o 24 mesi), è possibile concordare fatturazione trimestrale con sconto aggiuntivo da definire.</w:t>
      </w:r>
    </w:p>
    <w:p>
      <w:pPr>
        <w:pStyle w:val="Heading2"/>
        <w:spacing w:after="120" w:before="240"/>
      </w:pPr>
      <w:r>
        <w:rPr>
          <w:rFonts w:ascii="Aptos" w:cs="Aptos" w:eastAsia="Aptos" w:hAnsi="Aptos"/>
          <w:b/>
          <w:bCs/>
          <w:color w:val="000000"/>
          <w:sz w:val="24"/>
          <w:szCs w:val="24"/>
        </w:rPr>
        <w:t xml:space="preserve">10.3 On-demand</w:t>
      </w:r>
    </w:p>
    <w:p>
      <w:pPr>
        <w:pStyle w:val="ListParagraph"/>
        <w:numPr>
          <w:ilvl w:val="0"/>
          <w:numId w:val="2"/>
        </w:numPr>
        <w:spacing w:after="40" w:before="40"/>
      </w:pPr>
      <w:r>
        <w:rPr>
          <w:rFonts w:ascii="Aptos" w:cs="Aptos" w:eastAsia="Aptos" w:hAnsi="Aptos"/>
          <w:color w:val="1A1A1A"/>
          <w:sz w:val="22"/>
          <w:szCs w:val="22"/>
        </w:rPr>
        <w:t xml:space="preserve">Per attività on-demand (landing eventi singole, accompagnamento bando europeo specifico, change request): 50% all’avvio dell’attività, 50% alla consegna.</w:t>
      </w:r>
    </w:p>
    <w:p>
      <w:pPr>
        <w:pStyle w:val="Heading1"/>
        <w:pageBreakBefore/>
        <w:spacing w:after="200" w:before="360"/>
      </w:pPr>
      <w:r>
        <w:rPr>
          <w:rFonts w:ascii="Aptos" w:cs="Aptos" w:eastAsia="Aptos" w:hAnsi="Aptos"/>
          <w:b/>
          <w:bCs/>
          <w:color w:val="000000"/>
          <w:sz w:val="32"/>
          <w:szCs w:val="32"/>
        </w:rPr>
        <w:t xml:space="preserve">11. Governance e Presidi Contrattuali</w:t>
      </w:r>
    </w:p>
    <w:p>
      <w:pPr>
        <w:pStyle w:val="Heading2"/>
        <w:spacing w:after="120" w:before="240"/>
      </w:pPr>
      <w:r>
        <w:rPr>
          <w:rFonts w:ascii="Aptos" w:cs="Aptos" w:eastAsia="Aptos" w:hAnsi="Aptos"/>
          <w:b/>
          <w:bCs/>
          <w:color w:val="000000"/>
          <w:sz w:val="24"/>
          <w:szCs w:val="24"/>
        </w:rPr>
        <w:t xml:space="preserve">11.1 Ruoli e cadenze</w:t>
      </w:r>
    </w:p>
    <w:p>
      <w:pPr>
        <w:spacing w:after="80" w:before="60"/>
        <w:jc w:val="both"/>
      </w:pPr>
      <w:r>
        <w:rPr>
          <w:rFonts w:ascii="Aptos" w:cs="Aptos" w:eastAsia="Aptos" w:hAnsi="Aptos"/>
          <w:color w:val="1A1A1A"/>
          <w:sz w:val="22"/>
          <w:szCs w:val="22"/>
        </w:rPr>
        <w:t xml:space="preserve">Il presidio operativo del progetto è articolato su quattro ruoli — due lato HeyAI, due lato FuturItaly — più un referente unico lato committente. Ogni ruolo ha una cadenza dichiarata di interazione.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rPr>
          <w:tblHeader/>
        </w:trPr>
        <w:tc>
          <w:tcPr>
            <w:tcW w:type="dxa" w:w="15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Lato</w:t>
            </w:r>
          </w:p>
        </w:tc>
        <w:tc>
          <w:tcPr>
            <w:tcW w:type="dxa" w:w="5526"/>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Ruolo</w:t>
            </w:r>
          </w:p>
        </w:tc>
        <w:tc>
          <w:tcPr>
            <w:tcW w:type="dxa" w:w="20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Cadenza</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HeyAI</w:t>
            </w:r>
          </w:p>
        </w:tc>
        <w:tc>
          <w:tcPr>
            <w:tcW w:type="dxa" w:w="5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Project management e regia editoriale strategica</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Settimanale</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HeyAI</w:t>
            </w:r>
          </w:p>
        </w:tc>
        <w:tc>
          <w:tcPr>
            <w:tcW w:type="dxa" w:w="5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Owner tecnico e delivery sito</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Mensile</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FuturItaly</w:t>
            </w:r>
          </w:p>
        </w:tc>
        <w:tc>
          <w:tcPr>
            <w:tcW w:type="dxa" w:w="5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Key Account e coordinamento commerciale, sviluppo rete accademica</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Mensile</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FuturItaly</w:t>
            </w:r>
          </w:p>
        </w:tc>
        <w:tc>
          <w:tcPr>
            <w:tcW w:type="dxa" w:w="5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Regia editoriale Engaged Research e ricercatori partner</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Quindicinale</w:t>
            </w:r>
          </w:p>
        </w:tc>
      </w:tr>
      <w:tr>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Committente</w:t>
            </w:r>
          </w:p>
        </w:tc>
        <w:tc>
          <w:tcPr>
            <w:tcW w:type="dxa" w:w="5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Single Point of Contact, validazione editoriale, supporto coordinamento con altri fornitori</w:t>
            </w:r>
          </w:p>
        </w:tc>
        <w:tc>
          <w:tcPr>
            <w:tcW w:type="dxa" w:w="2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Concordata</w:t>
            </w:r>
          </w:p>
        </w:tc>
      </w:tr>
    </w:tbl>
    <w:p>
      <w:pPr>
        <w:pStyle w:val="Heading2"/>
        <w:spacing w:after="120" w:before="240"/>
      </w:pPr>
      <w:r>
        <w:rPr>
          <w:rFonts w:ascii="Aptos" w:cs="Aptos" w:eastAsia="Aptos" w:hAnsi="Aptos"/>
          <w:b/>
          <w:bCs/>
          <w:color w:val="000000"/>
          <w:sz w:val="24"/>
          <w:szCs w:val="24"/>
        </w:rPr>
        <w:t xml:space="preserve">11.2 Ciclo operativo mensile</w:t>
      </w:r>
    </w:p>
    <w:p>
      <w:pPr>
        <w:pStyle w:val="ListParagraph"/>
        <w:numPr>
          <w:ilvl w:val="0"/>
          <w:numId w:val="2"/>
        </w:numPr>
        <w:spacing w:after="40" w:before="40"/>
      </w:pPr>
      <w:r>
        <w:rPr>
          <w:rFonts w:ascii="Aptos" w:cs="Aptos" w:eastAsia="Aptos" w:hAnsi="Aptos"/>
          <w:color w:val="1A1A1A"/>
          <w:sz w:val="22"/>
          <w:szCs w:val="22"/>
        </w:rPr>
        <w:t xml:space="preserve">La pipeline editoriale del committente consegna paper, casi pedagogici e ricerche con partner accademici.</w:t>
      </w:r>
    </w:p>
    <w:p>
      <w:pPr>
        <w:pStyle w:val="ListParagraph"/>
        <w:numPr>
          <w:ilvl w:val="0"/>
          <w:numId w:val="2"/>
        </w:numPr>
        <w:spacing w:after="40" w:before="40"/>
      </w:pPr>
      <w:r>
        <w:rPr>
          <w:rFonts w:ascii="Aptos" w:cs="Aptos" w:eastAsia="Aptos" w:hAnsi="Aptos"/>
          <w:color w:val="1A1A1A"/>
          <w:sz w:val="22"/>
          <w:szCs w:val="22"/>
        </w:rPr>
        <w:t xml:space="preserve">HeyAI e FuturItaly traducono i contenuti scientifici in formati pubblicabili (sezioni sito, articoli, social card, executive summary).</w:t>
      </w:r>
    </w:p>
    <w:p>
      <w:pPr>
        <w:pStyle w:val="ListParagraph"/>
        <w:numPr>
          <w:ilvl w:val="0"/>
          <w:numId w:val="2"/>
        </w:numPr>
        <w:spacing w:after="40" w:before="40"/>
      </w:pPr>
      <w:r>
        <w:rPr>
          <w:rFonts w:ascii="Aptos" w:cs="Aptos" w:eastAsia="Aptos" w:hAnsi="Aptos"/>
          <w:color w:val="1A1A1A"/>
          <w:sz w:val="22"/>
          <w:szCs w:val="22"/>
        </w:rPr>
        <w:t xml:space="preserve">Review congiunta con il referente del committente per validazione editoriale e di brand.</w:t>
      </w:r>
    </w:p>
    <w:p>
      <w:pPr>
        <w:pStyle w:val="ListParagraph"/>
        <w:numPr>
          <w:ilvl w:val="0"/>
          <w:numId w:val="2"/>
        </w:numPr>
        <w:spacing w:after="40" w:before="40"/>
      </w:pPr>
      <w:r>
        <w:rPr>
          <w:rFonts w:ascii="Aptos" w:cs="Aptos" w:eastAsia="Aptos" w:hAnsi="Aptos"/>
          <w:color w:val="1A1A1A"/>
          <w:sz w:val="22"/>
          <w:szCs w:val="22"/>
        </w:rPr>
        <w:t xml:space="preserve">Pubblicazione sul sito e consegna di contenuti card per il canale LinkedIn Academy.</w:t>
      </w:r>
    </w:p>
    <w:p>
      <w:pPr>
        <w:pStyle w:val="ListParagraph"/>
        <w:numPr>
          <w:ilvl w:val="0"/>
          <w:numId w:val="2"/>
        </w:numPr>
        <w:spacing w:after="40" w:before="40"/>
      </w:pPr>
      <w:r>
        <w:rPr>
          <w:rFonts w:ascii="Aptos" w:cs="Aptos" w:eastAsia="Aptos" w:hAnsi="Aptos"/>
          <w:color w:val="1A1A1A"/>
          <w:sz w:val="22"/>
          <w:szCs w:val="22"/>
        </w:rPr>
        <w:t xml:space="preserve">Misurazione KPI con dashboard interna e report mensile, con decisioni operative per il mese successivo.</w:t>
      </w:r>
    </w:p>
    <w:p>
      <w:pPr>
        <w:pStyle w:val="Heading2"/>
        <w:spacing w:after="120" w:before="240"/>
      </w:pPr>
      <w:r>
        <w:rPr>
          <w:rFonts w:ascii="Aptos" w:cs="Aptos" w:eastAsia="Aptos" w:hAnsi="Aptos"/>
          <w:b/>
          <w:bCs/>
          <w:color w:val="000000"/>
          <w:sz w:val="24"/>
          <w:szCs w:val="24"/>
        </w:rPr>
        <w:t xml:space="preserve">11.3 Gestione delle richieste di modifica (Change Request)</w:t>
      </w:r>
    </w:p>
    <w:p>
      <w:pPr>
        <w:spacing w:after="80" w:before="60"/>
        <w:jc w:val="both"/>
      </w:pPr>
      <w:r>
        <w:rPr>
          <w:rFonts w:ascii="Aptos" w:cs="Aptos" w:eastAsia="Aptos" w:hAnsi="Aptos"/>
          <w:color w:val="1A1A1A"/>
          <w:sz w:val="22"/>
          <w:szCs w:val="22"/>
        </w:rPr>
        <w:t xml:space="preserve">Le richieste di modifica al perimetro concordato sono gestite tramite un processo formale di Change Request. Ogni richiesta viene valutata in termini di impatto su tempi, costi e qualità, e sottoposta al committente con quotazione dedicata prima di essere approvata. Eventuali modifiche minori che non impattano sul perimetro sono assorbite nel pacchetto ore di project management e operations.</w:t>
      </w:r>
    </w:p>
    <w:p>
      <w:pPr>
        <w:pStyle w:val="Heading2"/>
        <w:spacing w:after="120" w:before="240"/>
      </w:pPr>
      <w:r>
        <w:rPr>
          <w:rFonts w:ascii="Aptos" w:cs="Aptos" w:eastAsia="Aptos" w:hAnsi="Aptos"/>
          <w:b/>
          <w:bCs/>
          <w:color w:val="000000"/>
          <w:sz w:val="24"/>
          <w:szCs w:val="24"/>
        </w:rPr>
        <w:t xml:space="preserve">11.4 Service Level Agreement (SLA) di risposta</w:t>
      </w:r>
    </w:p>
    <w:p>
      <w:pPr>
        <w:pStyle w:val="ListParagraph"/>
        <w:numPr>
          <w:ilvl w:val="0"/>
          <w:numId w:val="2"/>
        </w:numPr>
        <w:spacing w:after="40" w:before="40"/>
      </w:pPr>
      <w:r>
        <w:rPr>
          <w:rFonts w:ascii="Aptos" w:cs="Aptos" w:eastAsia="Aptos" w:hAnsi="Aptos"/>
          <w:color w:val="1A1A1A"/>
          <w:sz w:val="22"/>
          <w:szCs w:val="22"/>
        </w:rPr>
        <w:t xml:space="preserve">Risposta alle comunicazioni del committente entro 1 giorno lavorativo durante le fasi attive di delivery.</w:t>
      </w:r>
    </w:p>
    <w:p>
      <w:pPr>
        <w:pStyle w:val="ListParagraph"/>
        <w:numPr>
          <w:ilvl w:val="0"/>
          <w:numId w:val="2"/>
        </w:numPr>
        <w:spacing w:after="40" w:before="40"/>
      </w:pPr>
      <w:r>
        <w:rPr>
          <w:rFonts w:ascii="Aptos" w:cs="Aptos" w:eastAsia="Aptos" w:hAnsi="Aptos"/>
          <w:color w:val="1A1A1A"/>
          <w:sz w:val="22"/>
          <w:szCs w:val="22"/>
        </w:rPr>
        <w:t xml:space="preserve">Risposta entro 2 giorni lavorativi durante i periodi di gestione continuativa post-go-live.</w:t>
      </w:r>
    </w:p>
    <w:p>
      <w:pPr>
        <w:pStyle w:val="ListParagraph"/>
        <w:numPr>
          <w:ilvl w:val="0"/>
          <w:numId w:val="2"/>
        </w:numPr>
        <w:spacing w:after="40" w:before="40"/>
      </w:pPr>
      <w:r>
        <w:rPr>
          <w:rFonts w:ascii="Aptos" w:cs="Aptos" w:eastAsia="Aptos" w:hAnsi="Aptos"/>
          <w:color w:val="1A1A1A"/>
          <w:sz w:val="22"/>
          <w:szCs w:val="22"/>
        </w:rPr>
        <w:t xml:space="preserve">Per situazioni di urgenza tecnica (sito non raggiungibile, malfunzionamenti critici): risposta entro 4 ore lavorative, intervento entro 1 giorno lavorativo.</w:t>
      </w:r>
    </w:p>
    <w:p>
      <w:pPr>
        <w:pStyle w:val="Heading1"/>
        <w:pageBreakBefore/>
        <w:spacing w:after="200" w:before="360"/>
      </w:pPr>
      <w:r>
        <w:rPr>
          <w:rFonts w:ascii="Aptos" w:cs="Aptos" w:eastAsia="Aptos" w:hAnsi="Aptos"/>
          <w:b/>
          <w:bCs/>
          <w:color w:val="000000"/>
          <w:sz w:val="32"/>
          <w:szCs w:val="32"/>
        </w:rPr>
        <w:t xml:space="preserve">12. Impegni delle Parti</w:t>
      </w:r>
    </w:p>
    <w:p>
      <w:pPr>
        <w:pStyle w:val="Heading2"/>
        <w:spacing w:after="120" w:before="240"/>
      </w:pPr>
      <w:r>
        <w:rPr>
          <w:rFonts w:ascii="Aptos" w:cs="Aptos" w:eastAsia="Aptos" w:hAnsi="Aptos"/>
          <w:b/>
          <w:bCs/>
          <w:color w:val="000000"/>
          <w:sz w:val="24"/>
          <w:szCs w:val="24"/>
        </w:rPr>
        <w:t xml:space="preserve">12.1 Impegni di HeyAI</w:t>
      </w:r>
    </w:p>
    <w:p>
      <w:pPr>
        <w:pStyle w:val="ListParagraph"/>
        <w:numPr>
          <w:ilvl w:val="0"/>
          <w:numId w:val="2"/>
        </w:numPr>
        <w:spacing w:after="40" w:before="40"/>
      </w:pPr>
      <w:r>
        <w:rPr>
          <w:rFonts w:ascii="Aptos" w:cs="Aptos" w:eastAsia="Aptos" w:hAnsi="Aptos"/>
          <w:color w:val="1A1A1A"/>
          <w:sz w:val="22"/>
          <w:szCs w:val="22"/>
        </w:rPr>
        <w:t xml:space="preserve">Garantire il rispetto delle tempistiche concordate per le fasi di delivery, salvo cause di forza maggiore o dipendenze esterne non controllabili.</w:t>
      </w:r>
    </w:p>
    <w:p>
      <w:pPr>
        <w:pStyle w:val="ListParagraph"/>
        <w:numPr>
          <w:ilvl w:val="0"/>
          <w:numId w:val="2"/>
        </w:numPr>
        <w:spacing w:after="40" w:before="40"/>
      </w:pPr>
      <w:r>
        <w:rPr>
          <w:rFonts w:ascii="Aptos" w:cs="Aptos" w:eastAsia="Aptos" w:hAnsi="Aptos"/>
          <w:color w:val="1A1A1A"/>
          <w:sz w:val="22"/>
          <w:szCs w:val="22"/>
        </w:rPr>
        <w:t xml:space="preserve">Garantire la qualità tecnica del prodotto secondo gli standard di sicurezza e accessibilità indicati nella sezione 6.</w:t>
      </w:r>
    </w:p>
    <w:p>
      <w:pPr>
        <w:pStyle w:val="ListParagraph"/>
        <w:numPr>
          <w:ilvl w:val="0"/>
          <w:numId w:val="2"/>
        </w:numPr>
        <w:spacing w:after="40" w:before="40"/>
      </w:pPr>
      <w:r>
        <w:rPr>
          <w:rFonts w:ascii="Aptos" w:cs="Aptos" w:eastAsia="Aptos" w:hAnsi="Aptos"/>
          <w:color w:val="1A1A1A"/>
          <w:sz w:val="22"/>
          <w:szCs w:val="22"/>
        </w:rPr>
        <w:t xml:space="preserve">Garantire la riservatezza sui materiali, le informazioni e i dati del committente, attraverso accordo di riservatezza dedicato firmato all’accettazione della proposta.</w:t>
      </w:r>
    </w:p>
    <w:p>
      <w:pPr>
        <w:pStyle w:val="ListParagraph"/>
        <w:numPr>
          <w:ilvl w:val="0"/>
          <w:numId w:val="2"/>
        </w:numPr>
        <w:spacing w:after="40" w:before="40"/>
      </w:pPr>
      <w:r>
        <w:rPr>
          <w:rFonts w:ascii="Aptos" w:cs="Aptos" w:eastAsia="Aptos" w:hAnsi="Aptos"/>
          <w:color w:val="1A1A1A"/>
          <w:sz w:val="22"/>
          <w:szCs w:val="22"/>
        </w:rPr>
        <w:t xml:space="preserve">Fornire un team dedicato con ruoli identificati e cadenze di interazione esplicite.</w:t>
      </w:r>
    </w:p>
    <w:p>
      <w:pPr>
        <w:pStyle w:val="Heading2"/>
        <w:spacing w:after="120" w:before="240"/>
      </w:pPr>
      <w:r>
        <w:rPr>
          <w:rFonts w:ascii="Aptos" w:cs="Aptos" w:eastAsia="Aptos" w:hAnsi="Aptos"/>
          <w:b/>
          <w:bCs/>
          <w:color w:val="000000"/>
          <w:sz w:val="24"/>
          <w:szCs w:val="24"/>
        </w:rPr>
        <w:t xml:space="preserve">12.2 Impegni del Committente</w:t>
      </w:r>
    </w:p>
    <w:p>
      <w:pPr>
        <w:pStyle w:val="ListParagraph"/>
        <w:numPr>
          <w:ilvl w:val="0"/>
          <w:numId w:val="2"/>
        </w:numPr>
        <w:spacing w:after="40" w:before="40"/>
      </w:pPr>
      <w:r>
        <w:rPr>
          <w:rFonts w:ascii="Aptos" w:cs="Aptos" w:eastAsia="Aptos" w:hAnsi="Aptos"/>
          <w:color w:val="1A1A1A"/>
          <w:sz w:val="22"/>
          <w:szCs w:val="22"/>
        </w:rPr>
        <w:t xml:space="preserve">Designare un Single Point of Contact con autorità decisionale sui temi editoriali, di brand e di approvazione contenuti.</w:t>
      </w:r>
    </w:p>
    <w:p>
      <w:pPr>
        <w:pStyle w:val="ListParagraph"/>
        <w:numPr>
          <w:ilvl w:val="0"/>
          <w:numId w:val="2"/>
        </w:numPr>
        <w:spacing w:after="40" w:before="40"/>
      </w:pPr>
      <w:r>
        <w:rPr>
          <w:rFonts w:ascii="Aptos" w:cs="Aptos" w:eastAsia="Aptos" w:hAnsi="Aptos"/>
          <w:color w:val="1A1A1A"/>
          <w:sz w:val="22"/>
          <w:szCs w:val="22"/>
        </w:rPr>
        <w:t xml:space="preserve">Fornire l’accesso ai brand assets (brand book, loghi, font, palette), alle bio executive e ai materiali storici dell’Academy.</w:t>
      </w:r>
    </w:p>
    <w:p>
      <w:pPr>
        <w:pStyle w:val="ListParagraph"/>
        <w:numPr>
          <w:ilvl w:val="0"/>
          <w:numId w:val="2"/>
        </w:numPr>
        <w:spacing w:after="40" w:before="40"/>
      </w:pPr>
      <w:r>
        <w:rPr>
          <w:rFonts w:ascii="Aptos" w:cs="Aptos" w:eastAsia="Aptos" w:hAnsi="Aptos"/>
          <w:color w:val="1A1A1A"/>
          <w:sz w:val="22"/>
          <w:szCs w:val="22"/>
        </w:rPr>
        <w:t xml:space="preserve">Garantire la disponibilità alle revisioni congiunte settimanali durante le fasi attive di delivery.</w:t>
      </w:r>
    </w:p>
    <w:p>
      <w:pPr>
        <w:pStyle w:val="ListParagraph"/>
        <w:numPr>
          <w:ilvl w:val="0"/>
          <w:numId w:val="2"/>
        </w:numPr>
        <w:spacing w:after="40" w:before="40"/>
      </w:pPr>
      <w:r>
        <w:rPr>
          <w:rFonts w:ascii="Aptos" w:cs="Aptos" w:eastAsia="Aptos" w:hAnsi="Aptos"/>
          <w:color w:val="1A1A1A"/>
          <w:sz w:val="22"/>
          <w:szCs w:val="22"/>
        </w:rPr>
        <w:t xml:space="preserve">Fornire l’accesso ai paper Engaged Research, ai casi pedagogici e alle ricerche con partner accademici nei tempi concordati per la pipeline editoriale.</w:t>
      </w:r>
    </w:p>
    <w:p>
      <w:pPr>
        <w:pStyle w:val="ListParagraph"/>
        <w:numPr>
          <w:ilvl w:val="0"/>
          <w:numId w:val="2"/>
        </w:numPr>
        <w:spacing w:after="40" w:before="40"/>
      </w:pPr>
      <w:r>
        <w:rPr>
          <w:rFonts w:ascii="Aptos" w:cs="Aptos" w:eastAsia="Aptos" w:hAnsi="Aptos"/>
          <w:color w:val="1A1A1A"/>
          <w:sz w:val="22"/>
          <w:szCs w:val="22"/>
        </w:rPr>
        <w:t xml:space="preserve">Validare contenuti, copy e funzionalità entro 5 giorni lavorativi dalla richiesta di approvazione, per evitare ritardi nelle attività successive.</w:t>
      </w:r>
    </w:p>
    <w:p>
      <w:pPr>
        <w:pStyle w:val="Heading1"/>
        <w:pageBreakBefore/>
        <w:spacing w:after="200" w:before="360"/>
      </w:pPr>
      <w:r>
        <w:rPr>
          <w:rFonts w:ascii="Aptos" w:cs="Aptos" w:eastAsia="Aptos" w:hAnsi="Aptos"/>
          <w:b/>
          <w:bCs/>
          <w:color w:val="000000"/>
          <w:sz w:val="32"/>
          <w:szCs w:val="32"/>
        </w:rPr>
        <w:t xml:space="preserve">13. Next Steps e Validità</w:t>
      </w:r>
    </w:p>
    <w:p>
      <w:pPr>
        <w:pStyle w:val="Heading2"/>
        <w:spacing w:after="120" w:before="240"/>
      </w:pPr>
      <w:r>
        <w:rPr>
          <w:rFonts w:ascii="Aptos" w:cs="Aptos" w:eastAsia="Aptos" w:hAnsi="Aptos"/>
          <w:b/>
          <w:bCs/>
          <w:color w:val="000000"/>
          <w:sz w:val="24"/>
          <w:szCs w:val="24"/>
        </w:rPr>
        <w:t xml:space="preserve">13.1 Prossimi passi operativi</w:t>
      </w:r>
    </w:p>
    <w:p>
      <w:pPr>
        <w:pStyle w:val="ListParagraph"/>
        <w:numPr>
          <w:ilvl w:val="0"/>
          <w:numId w:val="2"/>
        </w:numPr>
        <w:spacing w:after="40" w:before="40"/>
      </w:pPr>
      <w:r>
        <w:rPr>
          <w:rFonts w:ascii="Aptos" w:cs="Aptos" w:eastAsia="Aptos" w:hAnsi="Aptos"/>
          <w:color w:val="1A1A1A"/>
          <w:sz w:val="22"/>
          <w:szCs w:val="22"/>
        </w:rPr>
        <w:t xml:space="preserve">Accettazione formale della proposta da parte del committente, con eventuale negoziazione finale dei moduli e dei termini.</w:t>
      </w:r>
    </w:p>
    <w:p>
      <w:pPr>
        <w:pStyle w:val="ListParagraph"/>
        <w:numPr>
          <w:ilvl w:val="0"/>
          <w:numId w:val="2"/>
        </w:numPr>
        <w:spacing w:after="40" w:before="40"/>
      </w:pPr>
      <w:r>
        <w:rPr>
          <w:rFonts w:ascii="Aptos" w:cs="Aptos" w:eastAsia="Aptos" w:hAnsi="Aptos"/>
          <w:color w:val="1A1A1A"/>
          <w:sz w:val="22"/>
          <w:szCs w:val="22"/>
        </w:rPr>
        <w:t xml:space="preserve">Firma del contratto e dell’accordo di riservatezza.</w:t>
      </w:r>
    </w:p>
    <w:p>
      <w:pPr>
        <w:pStyle w:val="ListParagraph"/>
        <w:numPr>
          <w:ilvl w:val="0"/>
          <w:numId w:val="2"/>
        </w:numPr>
        <w:spacing w:after="40" w:before="40"/>
      </w:pPr>
      <w:r>
        <w:rPr>
          <w:rFonts w:ascii="Aptos" w:cs="Aptos" w:eastAsia="Aptos" w:hAnsi="Aptos"/>
          <w:color w:val="1A1A1A"/>
          <w:sz w:val="22"/>
          <w:szCs w:val="22"/>
        </w:rPr>
        <w:t xml:space="preserve">Kickoff operativo entro 14 giorni lavorativi dalla firma, con sessione di allineamento congiunto su perimetro, ruoli, calendario, deliverable.</w:t>
      </w:r>
    </w:p>
    <w:p>
      <w:pPr>
        <w:pStyle w:val="ListParagraph"/>
        <w:numPr>
          <w:ilvl w:val="0"/>
          <w:numId w:val="2"/>
        </w:numPr>
        <w:spacing w:after="40" w:before="40"/>
      </w:pPr>
      <w:r>
        <w:rPr>
          <w:rFonts w:ascii="Aptos" w:cs="Aptos" w:eastAsia="Aptos" w:hAnsi="Aptos"/>
          <w:color w:val="1A1A1A"/>
          <w:sz w:val="22"/>
          <w:szCs w:val="22"/>
        </w:rPr>
        <w:t xml:space="preserve">Avvio della Fase 1 (riallineamento sito attuale) per supportare il periodo di seeding pre-Festival Trento, salvo diversa indicazione del committente.</w:t>
      </w:r>
    </w:p>
    <w:p>
      <w:pPr>
        <w:pStyle w:val="Heading2"/>
        <w:spacing w:after="120" w:before="240"/>
      </w:pPr>
      <w:r>
        <w:rPr>
          <w:rFonts w:ascii="Aptos" w:cs="Aptos" w:eastAsia="Aptos" w:hAnsi="Aptos"/>
          <w:b/>
          <w:bCs/>
          <w:color w:val="000000"/>
          <w:sz w:val="24"/>
          <w:szCs w:val="24"/>
        </w:rPr>
        <w:t xml:space="preserve">13.2 Validità dell’offerta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Condizione</w:t>
            </w:r>
          </w:p>
        </w:tc>
        <w:tc>
          <w:tcPr>
            <w:tcW w:type="dxa" w:w="6526"/>
            <w:tcBorders>
              <w:top w:val="single" w:color="999999" w:sz="4"/>
              <w:left w:val="single" w:color="999999" w:sz="4"/>
              <w:bottom w:val="single" w:color="999999" w:sz="4"/>
              <w:right w:val="single" w:color="999999" w:sz="4"/>
            </w:tcBorders>
            <w:shd w:fill="F5F5F5" w:val="clear"/>
            <w:tcMar>
              <w:top w:type="dxa" w:w="100"/>
              <w:left w:type="dxa" w:w="120"/>
              <w:bottom w:type="dxa" w:w="100"/>
              <w:right w:type="dxa" w:w="120"/>
            </w:tcMar>
          </w:tcPr>
          <w:p>
            <w:pPr>
              <w:spacing w:after="0" w:before="0"/>
            </w:pPr>
            <w:r>
              <w:rPr>
                <w:rFonts w:ascii="Aptos" w:cs="Aptos" w:eastAsia="Aptos" w:hAnsi="Aptos"/>
                <w:b/>
                <w:bCs/>
                <w:color w:val="1A1A1A"/>
                <w:sz w:val="20"/>
                <w:szCs w:val="20"/>
              </w:rPr>
              <w:t xml:space="preserve">Dettaglio</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Validità offerta</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30 giorni dalla data di emissione della proposta</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Tempi di consegna</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Vincolati alla disponibilità del committente per le revisioni e le validazioni</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Proprietà intellettuale</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Licenza d’uso perpetua al committente; possibilità di trasferimento completo (full ownership) su accordo dedicato</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Personalizzazioni</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Modifiche al perimetro tramite Change Request con quotazione dedicata</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Garanzia tecnica</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12 mesi dalla consegna sul software sviluppato, esclusi danni dolosi o uso improprio</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Interventi extra</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Quotati a parte secondo tariffario orario condiviso al kickoff</w:t>
            </w:r>
          </w:p>
        </w:tc>
      </w:tr>
      <w:tr>
        <w:tc>
          <w:tcPr>
            <w:tcW w:type="dxa" w:w="2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Riservatezza</w:t>
            </w:r>
          </w:p>
        </w:tc>
        <w:tc>
          <w:tcPr>
            <w:tcW w:type="dxa" w:w="6526"/>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before="0"/>
            </w:pPr>
            <w:r>
              <w:rPr>
                <w:rFonts w:ascii="Aptos" w:cs="Aptos" w:eastAsia="Aptos" w:hAnsi="Aptos"/>
                <w:b w:val="false"/>
                <w:bCs w:val="false"/>
                <w:color w:val="1A1A1A"/>
                <w:sz w:val="20"/>
                <w:szCs w:val="20"/>
              </w:rPr>
              <w:t xml:space="preserve">Accordo di non divulgazione (NDA) reciproco firmato all’accettazione</w:t>
            </w:r>
          </w:p>
        </w:tc>
      </w:tr>
    </w:tbl>
    <w:p>
      <w:pPr>
        <w:pStyle w:val="Heading2"/>
        <w:spacing w:after="120" w:before="240"/>
      </w:pPr>
      <w:r>
        <w:rPr>
          <w:rFonts w:ascii="Aptos" w:cs="Aptos" w:eastAsia="Aptos" w:hAnsi="Aptos"/>
          <w:b/>
          <w:bCs/>
          <w:color w:val="000000"/>
          <w:sz w:val="24"/>
          <w:szCs w:val="24"/>
        </w:rPr>
        <w:t xml:space="preserve">13.3 Accettazione</w:t>
      </w:r>
    </w:p>
    <w:p>
      <w:pPr>
        <w:spacing w:after="200" w:before="0"/>
      </w:pPr>
      <w:r>
        <w:rPr>
          <w:rFonts w:ascii="Aptos" w:cs="Aptos" w:eastAsia="Aptos" w:hAnsi="Aptos"/>
          <w:sz w:val="22"/>
          <w:szCs w:val="22"/>
        </w:rPr>
        <w:t xml:space="preserve"/>
      </w:r>
    </w:p>
    <w:p>
      <w:pPr>
        <w:spacing w:after="80" w:before="60"/>
        <w:jc w:val="both"/>
      </w:pPr>
      <w:r>
        <w:rPr>
          <w:rFonts w:ascii="Aptos" w:cs="Aptos" w:eastAsia="Aptos" w:hAnsi="Aptos"/>
          <w:color w:val="1A1A1A"/>
          <w:sz w:val="22"/>
          <w:szCs w:val="22"/>
        </w:rPr>
        <w:t xml:space="preserve">Per accettare la presente proposta, il committente è invitato a restituire copia firmata del documento, indicando i moduli prescelti e gli eventuali punti di negoziazione. La firma vale come accettazione delle condizioni generali esposte nella sezione 13.2 e dell’avvio del processo operativo descritto nella sezione 13.1.</w:t>
      </w:r>
    </w:p>
    <w:p>
      <w:pPr>
        <w:spacing w:after="400" w:before="0"/>
      </w:pPr>
      <w:r>
        <w:rPr>
          <w:rFonts w:ascii="Aptos" w:cs="Aptos" w:eastAsia="Aptos" w:hAnsi="Aptos"/>
          <w:sz w:val="22"/>
          <w:szCs w:val="22"/>
        </w:rPr>
        <w:t xml:space="preserve"/>
      </w:r>
    </w:p>
    <w:p>
      <w:pPr>
        <w:spacing w:after="100" w:before="400"/>
      </w:pPr>
      <w:r>
        <w:rPr>
          <w:rFonts w:ascii="Aptos" w:cs="Aptos" w:eastAsia="Aptos" w:hAnsi="Aptos"/>
          <w:b/>
          <w:bCs/>
          <w:color w:val="1A1A1A"/>
          <w:sz w:val="22"/>
          <w:szCs w:val="22"/>
        </w:rPr>
        <w:t xml:space="preserve">Per HeyAI S.r.l.</w:t>
      </w:r>
    </w:p>
    <w:p>
      <w:pPr>
        <w:spacing w:after="60" w:before="60"/>
      </w:pPr>
      <w:r>
        <w:rPr>
          <w:rFonts w:ascii="Aptos" w:cs="Aptos" w:eastAsia="Aptos" w:hAnsi="Aptos"/>
          <w:color w:val="1A1A1A"/>
          <w:sz w:val="22"/>
          <w:szCs w:val="22"/>
        </w:rPr>
        <w:t xml:space="preserve">Ing. Bruno Mattucci</w:t>
      </w:r>
    </w:p>
    <w:p>
      <w:pPr>
        <w:spacing w:after="240" w:before="0"/>
      </w:pPr>
      <w:r>
        <w:rPr>
          <w:rFonts w:ascii="Aptos" w:cs="Aptos" w:eastAsia="Aptos" w:hAnsi="Aptos"/>
          <w:i/>
          <w:iCs/>
          <w:color w:val="606060"/>
          <w:sz w:val="20"/>
          <w:szCs w:val="20"/>
        </w:rPr>
        <w:t xml:space="preserve">Amministratore Unico</w:t>
      </w:r>
    </w:p>
    <w:p>
      <w:pPr>
        <w:spacing w:after="300" w:before="0"/>
      </w:pPr>
      <w:r>
        <w:rPr>
          <w:rFonts w:ascii="Aptos" w:cs="Aptos" w:eastAsia="Aptos" w:hAnsi="Aptos"/>
          <w:sz w:val="22"/>
          <w:szCs w:val="22"/>
        </w:rPr>
        <w:t xml:space="preserve"/>
      </w:r>
    </w:p>
    <w:p>
      <w:pPr>
        <w:pBdr>
          <w:top w:val="single" w:color="999999" w:sz="4" w:space="6"/>
        </w:pBdr>
        <w:spacing w:after="100" w:before="200"/>
      </w:pPr>
      <w:r>
        <w:rPr>
          <w:rFonts w:ascii="Aptos" w:cs="Aptos" w:eastAsia="Aptos" w:hAnsi="Aptos"/>
          <w:b/>
          <w:bCs/>
          <w:color w:val="1A1A1A"/>
          <w:sz w:val="22"/>
          <w:szCs w:val="22"/>
        </w:rPr>
        <w:t xml:space="preserve">Per Angelini Industries — Communication &amp; Brand</w:t>
      </w:r>
    </w:p>
    <w:p>
      <w:pPr>
        <w:spacing w:after="60" w:before="60"/>
      </w:pPr>
      <w:r>
        <w:rPr>
          <w:rFonts w:ascii="Aptos" w:cs="Aptos" w:eastAsia="Aptos" w:hAnsi="Aptos"/>
          <w:color w:val="1A1A1A"/>
          <w:sz w:val="22"/>
          <w:szCs w:val="22"/>
        </w:rPr>
        <w:t xml:space="preserve">Nome e cognome: _______________________________________________</w:t>
      </w:r>
    </w:p>
    <w:p>
      <w:pPr>
        <w:spacing w:after="60" w:before="60"/>
      </w:pPr>
      <w:r>
        <w:rPr>
          <w:rFonts w:ascii="Aptos" w:cs="Aptos" w:eastAsia="Aptos" w:hAnsi="Aptos"/>
          <w:color w:val="1A1A1A"/>
          <w:sz w:val="22"/>
          <w:szCs w:val="22"/>
        </w:rPr>
        <w:t xml:space="preserve">Ruolo: _________________________________________________________</w:t>
      </w:r>
    </w:p>
    <w:p>
      <w:pPr>
        <w:spacing w:after="60" w:before="60"/>
      </w:pPr>
      <w:r>
        <w:rPr>
          <w:rFonts w:ascii="Aptos" w:cs="Aptos" w:eastAsia="Aptos" w:hAnsi="Aptos"/>
          <w:color w:val="1A1A1A"/>
          <w:sz w:val="22"/>
          <w:szCs w:val="22"/>
        </w:rPr>
        <w:t xml:space="preserve">Data: ____ / ____ / 2026                Firma: _____________________</w:t>
      </w:r>
    </w:p>
    <w:sectPr>
      <w:headerReference w:type="default" r:id="rId7"/>
      <w:footerReference w:type="default" r:id="rId8"/>
      <w:pgSz w:w="11906" w:h="16838" w:orient="portrait"/>
      <w:pgMar w:top="141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082" w:sz="6" w:space="10"/>
      </w:pBdr>
      <w:spacing w:after="0" w:before="240"/>
      <w:jc w:val="center"/>
    </w:pPr>
    <w:r>
      <w:rPr>
        <w:rFonts w:ascii="Aptos" w:cs="Aptos" w:eastAsia="Aptos" w:hAnsi="Aptos"/>
        <w:color w:val="156082"/>
        <w:sz w:val="18"/>
        <w:szCs w:val="18"/>
      </w:rPr>
      <w:t xml:space="preserve">PEC: heyai@pec.it | REA RM – 1751505 | Cod. Fiscale: 17947791004 | Amministratore Unico: Ing. Bruno Mattucci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before="0"/>
    </w:pPr>
    <w:r>
      <w:rPr>
        <w:rFonts w:ascii="Aptos" w:cs="Aptos" w:eastAsia="Aptos" w:hAnsi="Aptos"/>
        <w:b/>
        <w:bCs/>
        <w:color w:val="156082"/>
        <w:sz w:val="21"/>
        <w:szCs w:val="21"/>
      </w:rPr>
      <w:t xml:space="preserve">HeyAI S.r.l.</w:t>
    </w:r>
    <w:r>
      <w:rPr>
        <w:rFonts w:ascii="Aptos" w:cs="Aptos" w:eastAsia="Aptos" w:hAnsi="Aptos"/>
        <w:color w:val="606060"/>
        <w:sz w:val="21"/>
        <w:szCs w:val="21"/>
      </w:rPr>
      <w:t xml:space="preserve">	Proposta di Investimento — Angelini Academy</w:t>
    </w:r>
  </w:p>
  <w:p>
    <w:pPr>
      <w:pBdr>
        <w:bottom w:val="single" w:color="156082" w:sz="6" w:space="4"/>
      </w:pBdr>
      <w:tabs>
        <w:tab w:val="right" w:pos="9026"/>
      </w:tabs>
      <w:spacing w:after="80" w:before="0"/>
    </w:pPr>
    <w:r>
      <w:rPr>
        <w:rFonts w:ascii="Aptos" w:cs="Aptos" w:eastAsia="Aptos" w:hAnsi="Aptos"/>
        <w:color w:val="606060"/>
        <w:sz w:val="18"/>
        <w:szCs w:val="18"/>
      </w:rPr>
      <w:t xml:space="preserve">Sede legale: Via Parigi 11, 00185 Roma (RM)</w:t>
    </w:r>
    <w:r>
      <w:rPr>
        <w:rFonts w:ascii="Aptos" w:cs="Aptos" w:eastAsia="Aptos" w:hAnsi="Aptos"/>
        <w:color w:val="156082"/>
        <w:sz w:val="18"/>
        <w:szCs w:val="18"/>
      </w:rPr>
      <w:t xml:space="preserve">	info@heyaidigital.it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di Investimento — Angelini Academy</dc:title>
  <dc:creator>HeyAI S.r.l.</dc:creator>
  <dc:description>Ecosistema digitale integrato per Angelini Academy</dc:description>
  <cp:lastModifiedBy>Un-named</cp:lastModifiedBy>
  <cp:revision>1</cp:revision>
  <dcterms:created xsi:type="dcterms:W3CDTF">2026-05-27T11:52:45.350Z</dcterms:created>
  <dcterms:modified xsi:type="dcterms:W3CDTF">2026-05-27T11:52:45.357Z</dcterms:modified>
</cp:coreProperties>
</file>

<file path=docProps/custom.xml><?xml version="1.0" encoding="utf-8"?>
<Properties xmlns="http://schemas.openxmlformats.org/officeDocument/2006/custom-properties" xmlns:vt="http://schemas.openxmlformats.org/officeDocument/2006/docPropsVTypes"/>
</file>