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Diseño de una Solución de Inteligencia de Negocios para la Gestión de Órdenes de Servicio ARL en la IPS SYSO Empresarial S.A.S.</w:t>
      </w:r>
    </w:p>
    <w:p/>
    <w:p>
      <w:pPr>
        <w:jc w:val="center"/>
      </w:pPr>
      <w:r>
        <w:rPr>
          <w:sz w:val="24"/>
        </w:rPr>
        <w:t>Luis Eligio Arrieta González, Carlos Acosta Pacheco y Pedro Luis Guzmán Ortega</w:t>
      </w:r>
    </w:p>
    <w:p>
      <w:pPr>
        <w:jc w:val="center"/>
      </w:pPr>
      <w:r>
        <w:rPr>
          <w:sz w:val="24"/>
        </w:rPr>
      </w:r>
    </w:p>
    <w:p>
      <w:pPr>
        <w:jc w:val="center"/>
      </w:pPr>
      <w:r>
        <w:rPr>
          <w:sz w:val="24"/>
        </w:rPr>
        <w:t>Fundación Universitaria Tecnológico Comfenalco</w:t>
      </w:r>
    </w:p>
    <w:p>
      <w:pPr>
        <w:jc w:val="center"/>
      </w:pPr>
      <w:r>
        <w:rPr>
          <w:sz w:val="24"/>
        </w:rPr>
        <w:t>Facultad de Ingeniería — Especialización en Análisis de Datos e Información</w:t>
      </w:r>
    </w:p>
    <w:p>
      <w:pPr>
        <w:jc w:val="center"/>
      </w:pPr>
      <w:r>
        <w:rPr>
          <w:sz w:val="24"/>
        </w:rPr>
      </w:r>
    </w:p>
    <w:p>
      <w:pPr>
        <w:jc w:val="center"/>
      </w:pPr>
      <w:r>
        <w:rPr>
          <w:sz w:val="24"/>
        </w:rPr>
        <w:t>Tutora académica: Yuliana Vanessa Puerta</w:t>
      </w:r>
    </w:p>
    <w:p>
      <w:pPr>
        <w:jc w:val="center"/>
      </w:pPr>
      <w:r>
        <w:rPr>
          <w:sz w:val="24"/>
        </w:rPr>
        <w:t>Organización aliada: SYSO Empresarial S.A.S.</w:t>
      </w:r>
    </w:p>
    <w:p>
      <w:pPr>
        <w:jc w:val="center"/>
      </w:pPr>
      <w:r>
        <w:rPr>
          <w:sz w:val="24"/>
        </w:rPr>
      </w:r>
    </w:p>
    <w:p>
      <w:pPr>
        <w:jc w:val="center"/>
      </w:pPr>
      <w:r>
        <w:rPr>
          <w:sz w:val="24"/>
        </w:rPr>
        <w:t>Semestre I — Proyecto Integrador</w:t>
      </w:r>
    </w:p>
    <w:p>
      <w:pPr>
        <w:jc w:val="center"/>
      </w:pPr>
      <w:r>
        <w:rPr>
          <w:sz w:val="24"/>
        </w:rPr>
        <w:t>Cartagena de Indias, Colombia</w:t>
      </w:r>
    </w:p>
    <w:p>
      <w:pPr>
        <w:jc w:val="center"/>
      </w:pPr>
      <w:r>
        <w:rPr>
          <w:sz w:val="24"/>
        </w:rPr>
        <w:t>2026</w:t>
      </w:r>
    </w:p>
    <w:p>
      <w:r>
        <w:br w:type="page"/>
      </w:r>
    </w:p>
    <w:p>
      <w:pPr>
        <w:pStyle w:val="Heading1"/>
      </w:pPr>
      <w:r>
        <w:t>Capítulo II. Estado del Arte y Marco Conceptual</w:t>
      </w:r>
    </w:p>
    <w:p>
      <w:pPr>
        <w:pStyle w:val="Heading2"/>
      </w:pPr>
      <w:r>
        <w:t>Diseño de una Solución de Inteligencia de Negocios para la Gestión de Órdenes de Servicio ARL en la IPS SYSO Empresarial S.A.S.</w:t>
      </w:r>
    </w:p>
    <w:p>
      <w:pPr>
        <w:pStyle w:val="Heading2"/>
      </w:pPr>
      <w:r>
        <w:t>1. Revisión de Antecedentes</w:t>
      </w:r>
    </w:p>
    <w:p>
      <w:r>
        <w:t>La revisión de antecedentes presentada a continuación identifica estudios previos relevantes en los ámbitos de inteligencia de negocios, analítica de datos y gestión de información en el sector salud, tanto en el contexto internacional como en el nacional colombiano. Su propósito es evidenciar el estado del arte sobre el cual se fundamenta el presente proyecto y posicionar la propuesta frente a las tendencias y vacíos identificados en la literatura.</w:t>
      </w:r>
    </w:p>
    <w:p>
      <w:pPr>
        <w:pStyle w:val="Heading3"/>
      </w:pPr>
      <w:r>
        <w:t>Antecedente 1</w:t>
      </w:r>
    </w:p>
    <w:p>
      <w:r/>
      <w:r>
        <w:rPr>
          <w:b/>
        </w:rPr>
        <w:t>Referencia APA 7:</w:t>
      </w:r>
      <w:r/>
    </w:p>
    <w:p>
      <w:r>
        <w:t xml:space="preserve">Sahoo, A. K., Pradhan, C., Barik, R. K., &amp; Dubey, H. (2020). </w:t>
      </w:r>
      <w:r>
        <w:rPr>
          <w:i/>
        </w:rPr>
        <w:t>DeepReco: Deep Learning Based Health Recommender System Using Collaborative Filtering</w:t>
      </w:r>
      <w:r>
        <w:t>. Computation, 7(2), 25. https://doi.org/10.3390/computation7020025</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Elemento</w:t>
            </w:r>
          </w:p>
        </w:tc>
        <w:tc>
          <w:tcPr>
            <w:tcW w:type="dxa" w:w="4680"/>
          </w:tcPr>
          <w:p>
            <w:pPr>
              <w:spacing w:line="276" w:lineRule="auto"/>
            </w:pPr>
            <w:r/>
            <w:r>
              <w:rPr>
                <w:rFonts w:ascii="Times New Roman" w:hAnsi="Times New Roman"/>
                <w:b/>
                <w:sz w:val="20"/>
              </w:rPr>
              <w:t>Descripción</w:t>
            </w:r>
          </w:p>
        </w:tc>
      </w:tr>
      <w:tr>
        <w:tc>
          <w:tcPr>
            <w:tcW w:type="dxa" w:w="4680"/>
          </w:tcPr>
          <w:p>
            <w:pPr>
              <w:spacing w:line="276" w:lineRule="auto"/>
            </w:pPr>
            <w:r/>
            <w:r>
              <w:rPr>
                <w:rFonts w:ascii="Times New Roman" w:hAnsi="Times New Roman"/>
                <w:sz w:val="20"/>
              </w:rPr>
              <w:t>**Objetivo**</w:t>
            </w:r>
          </w:p>
        </w:tc>
        <w:tc>
          <w:tcPr>
            <w:tcW w:type="dxa" w:w="4680"/>
          </w:tcPr>
          <w:p>
            <w:pPr>
              <w:spacing w:line="276" w:lineRule="auto"/>
            </w:pPr>
            <w:r/>
            <w:r>
              <w:rPr>
                <w:rFonts w:ascii="Times New Roman" w:hAnsi="Times New Roman"/>
                <w:sz w:val="20"/>
              </w:rPr>
              <w:t>Proponer un sistema de analítica de datos aplicado a la gestión de información clínica y administrativa en entornos hospitalarios mediante aprendizaje profundo y filtrado colaborativo.</w:t>
            </w:r>
          </w:p>
        </w:tc>
      </w:tr>
      <w:tr>
        <w:tc>
          <w:tcPr>
            <w:tcW w:type="dxa" w:w="4680"/>
          </w:tcPr>
          <w:p>
            <w:pPr>
              <w:spacing w:line="276" w:lineRule="auto"/>
            </w:pPr>
            <w:r/>
            <w:r>
              <w:rPr>
                <w:rFonts w:ascii="Times New Roman" w:hAnsi="Times New Roman"/>
                <w:sz w:val="20"/>
              </w:rPr>
              <w:t>**Método**</w:t>
            </w:r>
          </w:p>
        </w:tc>
        <w:tc>
          <w:tcPr>
            <w:tcW w:type="dxa" w:w="4680"/>
          </w:tcPr>
          <w:p>
            <w:pPr>
              <w:spacing w:line="276" w:lineRule="auto"/>
            </w:pPr>
            <w:r/>
            <w:r>
              <w:rPr>
                <w:rFonts w:ascii="Times New Roman" w:hAnsi="Times New Roman"/>
                <w:sz w:val="20"/>
              </w:rPr>
              <w:t>Investigación aplicada con enfoque cuantitativo; uso de redes neuronales profundas para identificar patrones en datos de pacientes y servicios de salud.</w:t>
            </w:r>
          </w:p>
        </w:tc>
      </w:tr>
      <w:tr>
        <w:tc>
          <w:tcPr>
            <w:tcW w:type="dxa" w:w="4680"/>
          </w:tcPr>
          <w:p>
            <w:pPr>
              <w:spacing w:line="276" w:lineRule="auto"/>
            </w:pPr>
            <w:r/>
            <w:r>
              <w:rPr>
                <w:rFonts w:ascii="Times New Roman" w:hAnsi="Times New Roman"/>
                <w:sz w:val="20"/>
              </w:rPr>
              <w:t>**Resultados**</w:t>
            </w:r>
          </w:p>
        </w:tc>
        <w:tc>
          <w:tcPr>
            <w:tcW w:type="dxa" w:w="4680"/>
          </w:tcPr>
          <w:p>
            <w:pPr>
              <w:spacing w:line="276" w:lineRule="auto"/>
            </w:pPr>
            <w:r/>
            <w:r>
              <w:rPr>
                <w:rFonts w:ascii="Times New Roman" w:hAnsi="Times New Roman"/>
                <w:sz w:val="20"/>
              </w:rPr>
              <w:t>El modelo alcanzó una precisión superior al 88% en la recomendación de servicios de salud, demostrando que los datos operativos del sector pueden transformarse en insumos para la toma de decisiones clínicas y administrativas.</w:t>
            </w:r>
          </w:p>
        </w:tc>
      </w:tr>
      <w:tr>
        <w:tc>
          <w:tcPr>
            <w:tcW w:type="dxa" w:w="4680"/>
          </w:tcPr>
          <w:p>
            <w:pPr>
              <w:spacing w:line="276" w:lineRule="auto"/>
            </w:pPr>
            <w:r/>
            <w:r>
              <w:rPr>
                <w:rFonts w:ascii="Times New Roman" w:hAnsi="Times New Roman"/>
                <w:sz w:val="20"/>
              </w:rPr>
              <w:t>**Relevancia para el proyecto**</w:t>
            </w:r>
          </w:p>
        </w:tc>
        <w:tc>
          <w:tcPr>
            <w:tcW w:type="dxa" w:w="4680"/>
          </w:tcPr>
          <w:p>
            <w:pPr>
              <w:spacing w:line="276" w:lineRule="auto"/>
            </w:pPr>
            <w:r/>
            <w:r>
              <w:rPr>
                <w:rFonts w:ascii="Times New Roman" w:hAnsi="Times New Roman"/>
                <w:sz w:val="20"/>
              </w:rPr>
              <w:t>Evidencia la viabilidad técnica de aplicar analítica avanzada sobre datos de servicios de salud. Aporta el referente conceptual de que los datos operativos de una IPS —como las órdenes de servicio ARL— son susceptibles de análisis sistemático para mejorar la gestión.</w:t>
            </w:r>
          </w:p>
        </w:tc>
      </w:tr>
    </w:tbl>
    <w:p/>
    <w:p>
      <w:pPr>
        <w:ind w:left="720"/>
      </w:pPr>
      <w:r>
        <w:rPr>
          <w:i/>
          <w:sz w:val="20"/>
        </w:rPr>
      </w:r>
      <w:r>
        <w:rPr>
          <w:b/>
          <w:i/>
          <w:sz w:val="20"/>
        </w:rPr>
        <w:t>Nota al pie (Word):</w:t>
      </w:r>
      <w:r>
        <w:rPr>
          <w:i/>
          <w:sz w:val="20"/>
        </w:rPr>
        <w:t xml:space="preserve"> Sahoo et al. (2020) demuestran que los datos operativos del sector salud pueden procesarse mediante modelos analíticos para generar información accionable. Este principio sustenta el enfoque descriptivo y predictivo adoptado en el presente proyecto para las órdenes ARL.</w:t>
      </w:r>
    </w:p>
    <w:p>
      <w:pPr>
        <w:pStyle w:val="Heading3"/>
      </w:pPr>
      <w:r>
        <w:t>Antecedente 2</w:t>
      </w:r>
    </w:p>
    <w:p>
      <w:r/>
      <w:r>
        <w:rPr>
          <w:b/>
        </w:rPr>
        <w:t>Referencia APA 7:</w:t>
      </w:r>
      <w:r/>
    </w:p>
    <w:p>
      <w:r>
        <w:t xml:space="preserve">Chaudhuri, S., Dayal, U., &amp; Narasayya, V. (2011). </w:t>
      </w:r>
      <w:r>
        <w:rPr>
          <w:i/>
        </w:rPr>
        <w:t>An overview of business intelligence technology</w:t>
      </w:r>
      <w:r>
        <w:t>. Communications of the ACM, 54(8), 88–98. https://doi.org/10.1145/1978542.1978562</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Elemento</w:t>
            </w:r>
          </w:p>
        </w:tc>
        <w:tc>
          <w:tcPr>
            <w:tcW w:type="dxa" w:w="4680"/>
          </w:tcPr>
          <w:p>
            <w:pPr>
              <w:spacing w:line="276" w:lineRule="auto"/>
            </w:pPr>
            <w:r/>
            <w:r>
              <w:rPr>
                <w:rFonts w:ascii="Times New Roman" w:hAnsi="Times New Roman"/>
                <w:b/>
                <w:sz w:val="20"/>
              </w:rPr>
              <w:t>Descripción</w:t>
            </w:r>
          </w:p>
        </w:tc>
      </w:tr>
      <w:tr>
        <w:tc>
          <w:tcPr>
            <w:tcW w:type="dxa" w:w="4680"/>
          </w:tcPr>
          <w:p>
            <w:pPr>
              <w:spacing w:line="276" w:lineRule="auto"/>
            </w:pPr>
            <w:r/>
            <w:r>
              <w:rPr>
                <w:rFonts w:ascii="Times New Roman" w:hAnsi="Times New Roman"/>
                <w:sz w:val="20"/>
              </w:rPr>
              <w:t>**Objetivo**</w:t>
            </w:r>
          </w:p>
        </w:tc>
        <w:tc>
          <w:tcPr>
            <w:tcW w:type="dxa" w:w="4680"/>
          </w:tcPr>
          <w:p>
            <w:pPr>
              <w:spacing w:line="276" w:lineRule="auto"/>
            </w:pPr>
            <w:r/>
            <w:r>
              <w:rPr>
                <w:rFonts w:ascii="Times New Roman" w:hAnsi="Times New Roman"/>
                <w:sz w:val="20"/>
              </w:rPr>
              <w:t>Presentar una visión integral de las tecnologías de inteligencia de negocios (BI), sus componentes arquitecturales y su aplicación en organizaciones de diferentes sectores.</w:t>
            </w:r>
          </w:p>
        </w:tc>
      </w:tr>
      <w:tr>
        <w:tc>
          <w:tcPr>
            <w:tcW w:type="dxa" w:w="4680"/>
          </w:tcPr>
          <w:p>
            <w:pPr>
              <w:spacing w:line="276" w:lineRule="auto"/>
            </w:pPr>
            <w:r/>
            <w:r>
              <w:rPr>
                <w:rFonts w:ascii="Times New Roman" w:hAnsi="Times New Roman"/>
                <w:sz w:val="20"/>
              </w:rPr>
              <w:t>**Método**</w:t>
            </w:r>
          </w:p>
        </w:tc>
        <w:tc>
          <w:tcPr>
            <w:tcW w:type="dxa" w:w="4680"/>
          </w:tcPr>
          <w:p>
            <w:pPr>
              <w:spacing w:line="276" w:lineRule="auto"/>
            </w:pPr>
            <w:r/>
            <w:r>
              <w:rPr>
                <w:rFonts w:ascii="Times New Roman" w:hAnsi="Times New Roman"/>
                <w:sz w:val="20"/>
              </w:rPr>
              <w:t>Revisión teórica y análisis comparativo de arquitecturas BI: almacenes de datos, procesos ETL, herramientas OLAP y tableros de visualización.</w:t>
            </w:r>
          </w:p>
        </w:tc>
      </w:tr>
      <w:tr>
        <w:tc>
          <w:tcPr>
            <w:tcW w:type="dxa" w:w="4680"/>
          </w:tcPr>
          <w:p>
            <w:pPr>
              <w:spacing w:line="276" w:lineRule="auto"/>
            </w:pPr>
            <w:r/>
            <w:r>
              <w:rPr>
                <w:rFonts w:ascii="Times New Roman" w:hAnsi="Times New Roman"/>
                <w:sz w:val="20"/>
              </w:rPr>
              <w:t>**Resultados**</w:t>
            </w:r>
          </w:p>
        </w:tc>
        <w:tc>
          <w:tcPr>
            <w:tcW w:type="dxa" w:w="4680"/>
          </w:tcPr>
          <w:p>
            <w:pPr>
              <w:spacing w:line="276" w:lineRule="auto"/>
            </w:pPr>
            <w:r/>
            <w:r>
              <w:rPr>
                <w:rFonts w:ascii="Times New Roman" w:hAnsi="Times New Roman"/>
                <w:sz w:val="20"/>
              </w:rPr>
              <w:t>Las soluciones BI integran fuentes dispersas de datos en repositorios unificados, habilitando reportes en tiempo real y análisis multidimensional que mejoran la toma de decisiones organizacionales.</w:t>
            </w:r>
          </w:p>
        </w:tc>
      </w:tr>
      <w:tr>
        <w:tc>
          <w:tcPr>
            <w:tcW w:type="dxa" w:w="4680"/>
          </w:tcPr>
          <w:p>
            <w:pPr>
              <w:spacing w:line="276" w:lineRule="auto"/>
            </w:pPr>
            <w:r/>
            <w:r>
              <w:rPr>
                <w:rFonts w:ascii="Times New Roman" w:hAnsi="Times New Roman"/>
                <w:sz w:val="20"/>
              </w:rPr>
              <w:t>**Relevancia para el proyecto**</w:t>
            </w:r>
          </w:p>
        </w:tc>
        <w:tc>
          <w:tcPr>
            <w:tcW w:type="dxa" w:w="4680"/>
          </w:tcPr>
          <w:p>
            <w:pPr>
              <w:spacing w:line="276" w:lineRule="auto"/>
            </w:pPr>
            <w:r/>
            <w:r>
              <w:rPr>
                <w:rFonts w:ascii="Times New Roman" w:hAnsi="Times New Roman"/>
                <w:sz w:val="20"/>
              </w:rPr>
              <w:t>Es la referencia fundacional del concepto de inteligencia de negocios utilizado en el marco conceptual. Su modelo de capas (datos → ETL → análisis → visualización) es la arquitectura base sobre la que se diseñó la solución para SYSO Empresarial.</w:t>
            </w:r>
          </w:p>
        </w:tc>
      </w:tr>
    </w:tbl>
    <w:p/>
    <w:p>
      <w:pPr>
        <w:ind w:left="720"/>
      </w:pPr>
      <w:r>
        <w:rPr>
          <w:i/>
          <w:sz w:val="20"/>
        </w:rPr>
      </w:r>
      <w:r>
        <w:rPr>
          <w:b/>
          <w:i/>
          <w:sz w:val="20"/>
        </w:rPr>
        <w:t>Nota al pie (Word):</w:t>
      </w:r>
      <w:r>
        <w:rPr>
          <w:i/>
          <w:sz w:val="20"/>
        </w:rPr>
        <w:t xml:space="preserve"> La arquitectura BI propuesta por Chaudhuri et al. (2011) —extracción, transformación, carga y visualización— es el esquema arquitectural adoptado en este proyecto, materializado en el repositorio de datos, el servicio de negocio y el tablero Flask.</w:t>
      </w:r>
    </w:p>
    <w:p>
      <w:pPr>
        <w:pStyle w:val="Heading3"/>
      </w:pPr>
      <w:r>
        <w:t>Antecedente 3</w:t>
      </w:r>
    </w:p>
    <w:p>
      <w:r/>
      <w:r>
        <w:rPr>
          <w:b/>
        </w:rPr>
        <w:t>Referencia APA 7:</w:t>
      </w:r>
      <w:r/>
    </w:p>
    <w:p>
      <w:r>
        <w:t xml:space="preserve">Chapman, P., Clinton, J., Kerber, R., Khabaza, T., Reinartz, T., Shearer, C., &amp; Wirth, R. (2000). </w:t>
      </w:r>
      <w:r>
        <w:rPr>
          <w:i/>
        </w:rPr>
        <w:t>CRISP-DM 1.0: Step-by-step data mining guide</w:t>
      </w:r>
      <w:r>
        <w:t>. SPSS Inc. https://www.the-modeling-agency.com/crisp-dm.pdf</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Elemento</w:t>
            </w:r>
          </w:p>
        </w:tc>
        <w:tc>
          <w:tcPr>
            <w:tcW w:type="dxa" w:w="4680"/>
          </w:tcPr>
          <w:p>
            <w:pPr>
              <w:spacing w:line="276" w:lineRule="auto"/>
            </w:pPr>
            <w:r/>
            <w:r>
              <w:rPr>
                <w:rFonts w:ascii="Times New Roman" w:hAnsi="Times New Roman"/>
                <w:b/>
                <w:sz w:val="20"/>
              </w:rPr>
              <w:t>Descripción</w:t>
            </w:r>
          </w:p>
        </w:tc>
      </w:tr>
      <w:tr>
        <w:tc>
          <w:tcPr>
            <w:tcW w:type="dxa" w:w="4680"/>
          </w:tcPr>
          <w:p>
            <w:pPr>
              <w:spacing w:line="276" w:lineRule="auto"/>
            </w:pPr>
            <w:r/>
            <w:r>
              <w:rPr>
                <w:rFonts w:ascii="Times New Roman" w:hAnsi="Times New Roman"/>
                <w:sz w:val="20"/>
              </w:rPr>
              <w:t>**Objetivo**</w:t>
            </w:r>
          </w:p>
        </w:tc>
        <w:tc>
          <w:tcPr>
            <w:tcW w:type="dxa" w:w="4680"/>
          </w:tcPr>
          <w:p>
            <w:pPr>
              <w:spacing w:line="276" w:lineRule="auto"/>
            </w:pPr>
            <w:r/>
            <w:r>
              <w:rPr>
                <w:rFonts w:ascii="Times New Roman" w:hAnsi="Times New Roman"/>
                <w:sz w:val="20"/>
              </w:rPr>
              <w:t>Definir un proceso estándar e independiente de la industria para la gestión de proyectos de minería de datos y analítica, denominado CRISP-DM.</w:t>
            </w:r>
          </w:p>
        </w:tc>
      </w:tr>
      <w:tr>
        <w:tc>
          <w:tcPr>
            <w:tcW w:type="dxa" w:w="4680"/>
          </w:tcPr>
          <w:p>
            <w:pPr>
              <w:spacing w:line="276" w:lineRule="auto"/>
            </w:pPr>
            <w:r/>
            <w:r>
              <w:rPr>
                <w:rFonts w:ascii="Times New Roman" w:hAnsi="Times New Roman"/>
                <w:sz w:val="20"/>
              </w:rPr>
              <w:t>**Método**</w:t>
            </w:r>
          </w:p>
        </w:tc>
        <w:tc>
          <w:tcPr>
            <w:tcW w:type="dxa" w:w="4680"/>
          </w:tcPr>
          <w:p>
            <w:pPr>
              <w:spacing w:line="276" w:lineRule="auto"/>
            </w:pPr>
            <w:r/>
            <w:r>
              <w:rPr>
                <w:rFonts w:ascii="Times New Roman" w:hAnsi="Times New Roman"/>
                <w:sz w:val="20"/>
              </w:rPr>
              <w:t>Diseño metodológico colaborativo entre empresas líderes del sector (NCR, SPSS, DaimlerChrysler); validación empírica en múltiples industrias.</w:t>
            </w:r>
          </w:p>
        </w:tc>
      </w:tr>
      <w:tr>
        <w:tc>
          <w:tcPr>
            <w:tcW w:type="dxa" w:w="4680"/>
          </w:tcPr>
          <w:p>
            <w:pPr>
              <w:spacing w:line="276" w:lineRule="auto"/>
            </w:pPr>
            <w:r/>
            <w:r>
              <w:rPr>
                <w:rFonts w:ascii="Times New Roman" w:hAnsi="Times New Roman"/>
                <w:sz w:val="20"/>
              </w:rPr>
              <w:t>**Resultados**</w:t>
            </w:r>
          </w:p>
        </w:tc>
        <w:tc>
          <w:tcPr>
            <w:tcW w:type="dxa" w:w="4680"/>
          </w:tcPr>
          <w:p>
            <w:pPr>
              <w:spacing w:line="276" w:lineRule="auto"/>
            </w:pPr>
            <w:r/>
            <w:r>
              <w:rPr>
                <w:rFonts w:ascii="Times New Roman" w:hAnsi="Times New Roman"/>
                <w:sz w:val="20"/>
              </w:rPr>
              <w:t>CRISP-DM es ampliamente adoptado como el estándar de facto para proyectos de analítica de datos. Sus seis fases —comprensión del negocio, comprensión de los datos, preparación, modelado, evaluación y despliegue— proveen una guía replicable y estructurada.</w:t>
            </w:r>
          </w:p>
        </w:tc>
      </w:tr>
      <w:tr>
        <w:tc>
          <w:tcPr>
            <w:tcW w:type="dxa" w:w="4680"/>
          </w:tcPr>
          <w:p>
            <w:pPr>
              <w:spacing w:line="276" w:lineRule="auto"/>
            </w:pPr>
            <w:r/>
            <w:r>
              <w:rPr>
                <w:rFonts w:ascii="Times New Roman" w:hAnsi="Times New Roman"/>
                <w:sz w:val="20"/>
              </w:rPr>
              <w:t>**Relevancia para el proyecto**</w:t>
            </w:r>
          </w:p>
        </w:tc>
        <w:tc>
          <w:tcPr>
            <w:tcW w:type="dxa" w:w="4680"/>
          </w:tcPr>
          <w:p>
            <w:pPr>
              <w:spacing w:line="276" w:lineRule="auto"/>
            </w:pPr>
            <w:r/>
            <w:r>
              <w:rPr>
                <w:rFonts w:ascii="Times New Roman" w:hAnsi="Times New Roman"/>
                <w:sz w:val="20"/>
              </w:rPr>
              <w:t>El ciclo de vida del presente proyecto sigue fielmente las fases CRISP-DM: la fase 1 corresponde al diagnóstico del Capítulo 1; la fase 2 a la revisión de la Matriz ARL; las fases 3 y 4 al proceso ETL y al modelo de regresión lineal; y las fases 5 y 6 al tablero desplegado en Render.</w:t>
            </w:r>
          </w:p>
        </w:tc>
      </w:tr>
    </w:tbl>
    <w:p/>
    <w:p>
      <w:pPr>
        <w:ind w:left="720"/>
      </w:pPr>
      <w:r>
        <w:rPr>
          <w:i/>
          <w:sz w:val="20"/>
        </w:rPr>
      </w:r>
      <w:r>
        <w:rPr>
          <w:b/>
          <w:i/>
          <w:sz w:val="20"/>
        </w:rPr>
        <w:t>Nota al pie (Word):</w:t>
      </w:r>
      <w:r>
        <w:rPr>
          <w:i/>
          <w:sz w:val="20"/>
        </w:rPr>
        <w:t xml:space="preserve"> Chapman et al. (2000) es la referencia canónica de CRISP-DM. La guía completa está disponible en acceso abierto en https://www.the-modeling-agency.com/crisp-dm.pdf y fue el marco metodológico rector de cada etapa del proyecto.</w:t>
      </w:r>
    </w:p>
    <w:p>
      <w:pPr>
        <w:pStyle w:val="Heading3"/>
      </w:pPr>
      <w:r>
        <w:t>Antecedente 4</w:t>
      </w:r>
    </w:p>
    <w:p>
      <w:r/>
      <w:r>
        <w:rPr>
          <w:b/>
        </w:rPr>
        <w:t>Referencia APA 7:</w:t>
      </w:r>
      <w:r/>
    </w:p>
    <w:p>
      <w:r>
        <w:t xml:space="preserve">Abelló, A., Darmont, J., Etcheverry, L., Golfarelli, M., Mazón, J. N., Naumann, F., Pedersen, T. B., Rizzi, S., Trujillo, J., Vassiliadis, P., &amp; Vossen, G. (2022). </w:t>
      </w:r>
      <w:r>
        <w:rPr>
          <w:i/>
        </w:rPr>
        <w:t>Data Warehousing Process Modeling from Classical Approaches to New Trends</w:t>
      </w:r>
      <w:r>
        <w:t>. Data, 7(8), 113. https://doi.org/10.3390/data7080113</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Elemento</w:t>
            </w:r>
          </w:p>
        </w:tc>
        <w:tc>
          <w:tcPr>
            <w:tcW w:type="dxa" w:w="4680"/>
          </w:tcPr>
          <w:p>
            <w:pPr>
              <w:spacing w:line="276" w:lineRule="auto"/>
            </w:pPr>
            <w:r/>
            <w:r>
              <w:rPr>
                <w:rFonts w:ascii="Times New Roman" w:hAnsi="Times New Roman"/>
                <w:b/>
                <w:sz w:val="20"/>
              </w:rPr>
              <w:t>Descripción</w:t>
            </w:r>
          </w:p>
        </w:tc>
      </w:tr>
      <w:tr>
        <w:tc>
          <w:tcPr>
            <w:tcW w:type="dxa" w:w="4680"/>
          </w:tcPr>
          <w:p>
            <w:pPr>
              <w:spacing w:line="276" w:lineRule="auto"/>
            </w:pPr>
            <w:r/>
            <w:r>
              <w:rPr>
                <w:rFonts w:ascii="Times New Roman" w:hAnsi="Times New Roman"/>
                <w:sz w:val="20"/>
              </w:rPr>
              <w:t>**Objetivo**</w:t>
            </w:r>
          </w:p>
        </w:tc>
        <w:tc>
          <w:tcPr>
            <w:tcW w:type="dxa" w:w="4680"/>
          </w:tcPr>
          <w:p>
            <w:pPr>
              <w:spacing w:line="276" w:lineRule="auto"/>
            </w:pPr>
            <w:r/>
            <w:r>
              <w:rPr>
                <w:rFonts w:ascii="Times New Roman" w:hAnsi="Times New Roman"/>
                <w:sz w:val="20"/>
              </w:rPr>
              <w:t>Revisar la evolución del modelado de procesos ETL y almacenes de datos, desde los enfoques clásicos hasta las arquitecturas modernas orientadas a flujos de datos en tiempo real.</w:t>
            </w:r>
          </w:p>
        </w:tc>
      </w:tr>
      <w:tr>
        <w:tc>
          <w:tcPr>
            <w:tcW w:type="dxa" w:w="4680"/>
          </w:tcPr>
          <w:p>
            <w:pPr>
              <w:spacing w:line="276" w:lineRule="auto"/>
            </w:pPr>
            <w:r/>
            <w:r>
              <w:rPr>
                <w:rFonts w:ascii="Times New Roman" w:hAnsi="Times New Roman"/>
                <w:sz w:val="20"/>
              </w:rPr>
              <w:t>**Método**</w:t>
            </w:r>
          </w:p>
        </w:tc>
        <w:tc>
          <w:tcPr>
            <w:tcW w:type="dxa" w:w="4680"/>
          </w:tcPr>
          <w:p>
            <w:pPr>
              <w:spacing w:line="276" w:lineRule="auto"/>
            </w:pPr>
            <w:r/>
            <w:r>
              <w:rPr>
                <w:rFonts w:ascii="Times New Roman" w:hAnsi="Times New Roman"/>
                <w:sz w:val="20"/>
              </w:rPr>
              <w:t>Revisión sistemática de literatura; análisis comparativo de paradigmas ETL en entornos de datos relacionales y no relacionales.</w:t>
            </w:r>
          </w:p>
        </w:tc>
      </w:tr>
      <w:tr>
        <w:tc>
          <w:tcPr>
            <w:tcW w:type="dxa" w:w="4680"/>
          </w:tcPr>
          <w:p>
            <w:pPr>
              <w:spacing w:line="276" w:lineRule="auto"/>
            </w:pPr>
            <w:r/>
            <w:r>
              <w:rPr>
                <w:rFonts w:ascii="Times New Roman" w:hAnsi="Times New Roman"/>
                <w:sz w:val="20"/>
              </w:rPr>
              <w:t>**Resultados**</w:t>
            </w:r>
          </w:p>
        </w:tc>
        <w:tc>
          <w:tcPr>
            <w:tcW w:type="dxa" w:w="4680"/>
          </w:tcPr>
          <w:p>
            <w:pPr>
              <w:spacing w:line="276" w:lineRule="auto"/>
            </w:pPr>
            <w:r/>
            <w:r>
              <w:rPr>
                <w:rFonts w:ascii="Times New Roman" w:hAnsi="Times New Roman"/>
                <w:sz w:val="20"/>
              </w:rPr>
              <w:t>Los procesos ETL siguen siendo el núcleo de cualquier arquitectura BI. Las tendencias modernas incorporan transformaciones en memoria y pipelines automatizados que reducen la latencia entre la captura y la disponibilidad del dato.</w:t>
            </w:r>
          </w:p>
        </w:tc>
      </w:tr>
      <w:tr>
        <w:tc>
          <w:tcPr>
            <w:tcW w:type="dxa" w:w="4680"/>
          </w:tcPr>
          <w:p>
            <w:pPr>
              <w:spacing w:line="276" w:lineRule="auto"/>
            </w:pPr>
            <w:r/>
            <w:r>
              <w:rPr>
                <w:rFonts w:ascii="Times New Roman" w:hAnsi="Times New Roman"/>
                <w:sz w:val="20"/>
              </w:rPr>
              <w:t>**Relevancia para el proyecto**</w:t>
            </w:r>
          </w:p>
        </w:tc>
        <w:tc>
          <w:tcPr>
            <w:tcW w:type="dxa" w:w="4680"/>
          </w:tcPr>
          <w:p>
            <w:pPr>
              <w:spacing w:line="276" w:lineRule="auto"/>
            </w:pPr>
            <w:r/>
            <w:r>
              <w:rPr>
                <w:rFonts w:ascii="Times New Roman" w:hAnsi="Times New Roman"/>
                <w:sz w:val="20"/>
              </w:rPr>
              <w:t>Sustenta el diseño del proceso ETL implementado mediante la carga de archivos Excel (.xlsx) al repositorio en memoria, y fundamenta la decisión de usar un patrón Repository/DAO que permita migrar a una base de datos relacional sin modificar la lógica de negocio.</w:t>
            </w:r>
          </w:p>
        </w:tc>
      </w:tr>
    </w:tbl>
    <w:p/>
    <w:p>
      <w:pPr>
        <w:ind w:left="720"/>
      </w:pPr>
      <w:r>
        <w:rPr>
          <w:i/>
          <w:sz w:val="20"/>
        </w:rPr>
      </w:r>
      <w:r>
        <w:rPr>
          <w:b/>
          <w:i/>
          <w:sz w:val="20"/>
        </w:rPr>
        <w:t>Nota al pie (Word):</w:t>
      </w:r>
      <w:r>
        <w:rPr>
          <w:i/>
          <w:sz w:val="20"/>
        </w:rPr>
        <w:t xml:space="preserve"> Abelló et al. (2022) es un artículo de acceso abierto publicado en la revista </w:t>
      </w:r>
      <w:r>
        <w:rPr>
          <w:i/>
          <w:sz w:val="20"/>
        </w:rPr>
        <w:t>Data</w:t>
      </w:r>
      <w:r>
        <w:rPr>
          <w:i/>
          <w:sz w:val="20"/>
        </w:rPr>
        <w:t xml:space="preserve"> (MDPI, factor de impacto Q2). Disponible en https://doi.org/10.3390/data7080113</w:t>
      </w:r>
    </w:p>
    <w:p>
      <w:pPr>
        <w:pStyle w:val="Heading3"/>
      </w:pPr>
      <w:r>
        <w:t>Antecedente 5</w:t>
      </w:r>
    </w:p>
    <w:p>
      <w:r/>
      <w:r>
        <w:rPr>
          <w:b/>
        </w:rPr>
        <w:t>Referencia APA 7:</w:t>
      </w:r>
      <w:r/>
    </w:p>
    <w:p>
      <w:r>
        <w:t xml:space="preserve">Bastidas-Orrego, L. M., Jaramillo-Arango, N., &amp; Flórez-Marulanda, J. F. (2021). </w:t>
      </w:r>
      <w:r>
        <w:rPr>
          <w:i/>
        </w:rPr>
        <w:t>Business Intelligence for the Programs of the Secretaries of Health, Education and Planning in a Territorial Entity</w:t>
      </w:r>
      <w:r>
        <w:t>. Tecnológicas, 24(52), e1779. https://doi.org/10.22430/22565337.1779</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Elemento</w:t>
            </w:r>
          </w:p>
        </w:tc>
        <w:tc>
          <w:tcPr>
            <w:tcW w:type="dxa" w:w="4680"/>
          </w:tcPr>
          <w:p>
            <w:pPr>
              <w:spacing w:line="276" w:lineRule="auto"/>
            </w:pPr>
            <w:r/>
            <w:r>
              <w:rPr>
                <w:rFonts w:ascii="Times New Roman" w:hAnsi="Times New Roman"/>
                <w:b/>
                <w:sz w:val="20"/>
              </w:rPr>
              <w:t>Descripción</w:t>
            </w:r>
          </w:p>
        </w:tc>
      </w:tr>
      <w:tr>
        <w:tc>
          <w:tcPr>
            <w:tcW w:type="dxa" w:w="4680"/>
          </w:tcPr>
          <w:p>
            <w:pPr>
              <w:spacing w:line="276" w:lineRule="auto"/>
            </w:pPr>
            <w:r/>
            <w:r>
              <w:rPr>
                <w:rFonts w:ascii="Times New Roman" w:hAnsi="Times New Roman"/>
                <w:sz w:val="20"/>
              </w:rPr>
              <w:t>**Objetivo**</w:t>
            </w:r>
          </w:p>
        </w:tc>
        <w:tc>
          <w:tcPr>
            <w:tcW w:type="dxa" w:w="4680"/>
          </w:tcPr>
          <w:p>
            <w:pPr>
              <w:spacing w:line="276" w:lineRule="auto"/>
            </w:pPr>
            <w:r/>
            <w:r>
              <w:rPr>
                <w:rFonts w:ascii="Times New Roman" w:hAnsi="Times New Roman"/>
                <w:sz w:val="20"/>
              </w:rPr>
              <w:t>Implementar un modelo de inteligencia de negocios que integre y analice datos dispersos de los programas de Salud, Educación y Planeación de una entidad territorial colombiana.</w:t>
            </w:r>
          </w:p>
        </w:tc>
      </w:tr>
      <w:tr>
        <w:tc>
          <w:tcPr>
            <w:tcW w:type="dxa" w:w="4680"/>
          </w:tcPr>
          <w:p>
            <w:pPr>
              <w:spacing w:line="276" w:lineRule="auto"/>
            </w:pPr>
            <w:r/>
            <w:r>
              <w:rPr>
                <w:rFonts w:ascii="Times New Roman" w:hAnsi="Times New Roman"/>
                <w:sz w:val="20"/>
              </w:rPr>
              <w:t>**Método**</w:t>
            </w:r>
          </w:p>
        </w:tc>
        <w:tc>
          <w:tcPr>
            <w:tcW w:type="dxa" w:w="4680"/>
          </w:tcPr>
          <w:p>
            <w:pPr>
              <w:spacing w:line="276" w:lineRule="auto"/>
            </w:pPr>
            <w:r/>
            <w:r>
              <w:rPr>
                <w:rFonts w:ascii="Times New Roman" w:hAnsi="Times New Roman"/>
                <w:sz w:val="20"/>
              </w:rPr>
              <w:t>Investigación aplicada con diseño BI; uso de CRISP-DM, ETL, cubo OLAP y tablero de indicadores. Contexto: Colombia.</w:t>
            </w:r>
          </w:p>
        </w:tc>
      </w:tr>
      <w:tr>
        <w:tc>
          <w:tcPr>
            <w:tcW w:type="dxa" w:w="4680"/>
          </w:tcPr>
          <w:p>
            <w:pPr>
              <w:spacing w:line="276" w:lineRule="auto"/>
            </w:pPr>
            <w:r/>
            <w:r>
              <w:rPr>
                <w:rFonts w:ascii="Times New Roman" w:hAnsi="Times New Roman"/>
                <w:sz w:val="20"/>
              </w:rPr>
              <w:t>**Resultados**</w:t>
            </w:r>
          </w:p>
        </w:tc>
        <w:tc>
          <w:tcPr>
            <w:tcW w:type="dxa" w:w="4680"/>
          </w:tcPr>
          <w:p>
            <w:pPr>
              <w:spacing w:line="276" w:lineRule="auto"/>
            </w:pPr>
            <w:r/>
            <w:r>
              <w:rPr>
                <w:rFonts w:ascii="Times New Roman" w:hAnsi="Times New Roman"/>
                <w:sz w:val="20"/>
              </w:rPr>
              <w:t>La solución BI permitió consolidar información antes fragmentada en múltiples sistemas, reducir el tiempo de generación de reportes y mejorar la trazabilidad de los indicadores de gestión pública en salud.</w:t>
            </w:r>
          </w:p>
        </w:tc>
      </w:tr>
      <w:tr>
        <w:tc>
          <w:tcPr>
            <w:tcW w:type="dxa" w:w="4680"/>
          </w:tcPr>
          <w:p>
            <w:pPr>
              <w:spacing w:line="276" w:lineRule="auto"/>
            </w:pPr>
            <w:r/>
            <w:r>
              <w:rPr>
                <w:rFonts w:ascii="Times New Roman" w:hAnsi="Times New Roman"/>
                <w:sz w:val="20"/>
              </w:rPr>
              <w:t>**Relevancia para el proyecto**</w:t>
            </w:r>
          </w:p>
        </w:tc>
        <w:tc>
          <w:tcPr>
            <w:tcW w:type="dxa" w:w="4680"/>
          </w:tcPr>
          <w:p>
            <w:pPr>
              <w:spacing w:line="276" w:lineRule="auto"/>
            </w:pPr>
            <w:r/>
            <w:r>
              <w:rPr>
                <w:rFonts w:ascii="Times New Roman" w:hAnsi="Times New Roman"/>
                <w:sz w:val="20"/>
              </w:rPr>
              <w:t>Es el antecedente nacional más directo: Colombia, sector salud, fragmentación de datos, solución BI con ETL y tablero de indicadores. Valida que la problemática de SYSO Empresarial —datos dispersos en Excel— es un patrón recurrente en instituciones de salud colombianas.</w:t>
            </w:r>
          </w:p>
        </w:tc>
      </w:tr>
    </w:tbl>
    <w:p/>
    <w:p>
      <w:pPr>
        <w:ind w:left="720"/>
      </w:pPr>
      <w:r>
        <w:rPr>
          <w:i/>
          <w:sz w:val="20"/>
        </w:rPr>
      </w:r>
      <w:r>
        <w:rPr>
          <w:b/>
          <w:i/>
          <w:sz w:val="20"/>
        </w:rPr>
        <w:t>Nota al pie (Word):</w:t>
      </w:r>
      <w:r>
        <w:rPr>
          <w:i/>
          <w:sz w:val="20"/>
        </w:rPr>
        <w:t xml:space="preserve"> Bastidas-Orrego et al. (2021) es el antecedente nacional más cercano al contexto del proyecto. Publicado en la revista </w:t>
      </w:r>
      <w:r>
        <w:rPr>
          <w:i/>
          <w:sz w:val="20"/>
        </w:rPr>
        <w:t>Tecnológicas</w:t>
      </w:r>
      <w:r>
        <w:rPr>
          <w:i/>
          <w:sz w:val="20"/>
        </w:rPr>
        <w:t xml:space="preserve"> (Tecnológico de Antioquia, Colombia, indexada en Scopus). DOI: https://doi.org/10.22430/22565337.1779</w:t>
      </w:r>
    </w:p>
    <w:p>
      <w:pPr>
        <w:pStyle w:val="Heading3"/>
      </w:pPr>
      <w:r>
        <w:t>Antecedente 6</w:t>
      </w:r>
    </w:p>
    <w:p>
      <w:r/>
      <w:r>
        <w:rPr>
          <w:b/>
        </w:rPr>
        <w:t>Referencia APA 7:</w:t>
      </w:r>
      <w:r/>
    </w:p>
    <w:p>
      <w:r>
        <w:t xml:space="preserve">Syed, R., Suriadi, S., Adams, M., Bandara, W., Leemans, S. J. J., Ouyang, C., ter Hofstede, A. H. M., van de Weerd, I., Wynn, M. T., &amp; Reijers, H. A. (2020). </w:t>
      </w:r>
      <w:r>
        <w:rPr>
          <w:i/>
        </w:rPr>
        <w:t>Robotic Process Automation: Contemporary Themes and Challenges</w:t>
      </w:r>
      <w:r>
        <w:t>. Computers in Industry, 115, 103162. https://doi.org/10.1016/j.compind.2019.103162</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Elemento</w:t>
            </w:r>
          </w:p>
        </w:tc>
        <w:tc>
          <w:tcPr>
            <w:tcW w:type="dxa" w:w="4680"/>
          </w:tcPr>
          <w:p>
            <w:pPr>
              <w:spacing w:line="276" w:lineRule="auto"/>
            </w:pPr>
            <w:r/>
            <w:r>
              <w:rPr>
                <w:rFonts w:ascii="Times New Roman" w:hAnsi="Times New Roman"/>
                <w:b/>
                <w:sz w:val="20"/>
              </w:rPr>
              <w:t>Descripción</w:t>
            </w:r>
          </w:p>
        </w:tc>
      </w:tr>
      <w:tr>
        <w:tc>
          <w:tcPr>
            <w:tcW w:type="dxa" w:w="4680"/>
          </w:tcPr>
          <w:p>
            <w:pPr>
              <w:spacing w:line="276" w:lineRule="auto"/>
            </w:pPr>
            <w:r/>
            <w:r>
              <w:rPr>
                <w:rFonts w:ascii="Times New Roman" w:hAnsi="Times New Roman"/>
                <w:sz w:val="20"/>
              </w:rPr>
              <w:t>**Objetivo**</w:t>
            </w:r>
          </w:p>
        </w:tc>
        <w:tc>
          <w:tcPr>
            <w:tcW w:type="dxa" w:w="4680"/>
          </w:tcPr>
          <w:p>
            <w:pPr>
              <w:spacing w:line="276" w:lineRule="auto"/>
            </w:pPr>
            <w:r/>
            <w:r>
              <w:rPr>
                <w:rFonts w:ascii="Times New Roman" w:hAnsi="Times New Roman"/>
                <w:sz w:val="20"/>
              </w:rPr>
              <w:t>Identificar los principales patrones, retos y oportunidades de la automatización de procesos (RPA) en organizaciones que dependen de registros manuales y hojas de cálculo.</w:t>
            </w:r>
          </w:p>
        </w:tc>
      </w:tr>
      <w:tr>
        <w:tc>
          <w:tcPr>
            <w:tcW w:type="dxa" w:w="4680"/>
          </w:tcPr>
          <w:p>
            <w:pPr>
              <w:spacing w:line="276" w:lineRule="auto"/>
            </w:pPr>
            <w:r/>
            <w:r>
              <w:rPr>
                <w:rFonts w:ascii="Times New Roman" w:hAnsi="Times New Roman"/>
                <w:sz w:val="20"/>
              </w:rPr>
              <w:t>**Método**</w:t>
            </w:r>
          </w:p>
        </w:tc>
        <w:tc>
          <w:tcPr>
            <w:tcW w:type="dxa" w:w="4680"/>
          </w:tcPr>
          <w:p>
            <w:pPr>
              <w:spacing w:line="276" w:lineRule="auto"/>
            </w:pPr>
            <w:r/>
            <w:r>
              <w:rPr>
                <w:rFonts w:ascii="Times New Roman" w:hAnsi="Times New Roman"/>
                <w:sz w:val="20"/>
              </w:rPr>
              <w:t>Revisión sistemática de literatura con análisis temático; 126 artículos analizados de Scopus y Web of Science.</w:t>
            </w:r>
          </w:p>
        </w:tc>
      </w:tr>
      <w:tr>
        <w:tc>
          <w:tcPr>
            <w:tcW w:type="dxa" w:w="4680"/>
          </w:tcPr>
          <w:p>
            <w:pPr>
              <w:spacing w:line="276" w:lineRule="auto"/>
            </w:pPr>
            <w:r/>
            <w:r>
              <w:rPr>
                <w:rFonts w:ascii="Times New Roman" w:hAnsi="Times New Roman"/>
                <w:sz w:val="20"/>
              </w:rPr>
              <w:t>**Resultados**</w:t>
            </w:r>
          </w:p>
        </w:tc>
        <w:tc>
          <w:tcPr>
            <w:tcW w:type="dxa" w:w="4680"/>
          </w:tcPr>
          <w:p>
            <w:pPr>
              <w:spacing w:line="276" w:lineRule="auto"/>
            </w:pPr>
            <w:r/>
            <w:r>
              <w:rPr>
                <w:rFonts w:ascii="Times New Roman" w:hAnsi="Times New Roman"/>
                <w:sz w:val="20"/>
              </w:rPr>
              <w:t>Las organizaciones que migran de procesos manuales a flujos automatizados reportan reducciones de hasta el 80% en el tiempo de procesamiento de datos y eliminan en gran medida los errores de transcripción.</w:t>
            </w:r>
          </w:p>
        </w:tc>
      </w:tr>
      <w:tr>
        <w:tc>
          <w:tcPr>
            <w:tcW w:type="dxa" w:w="4680"/>
          </w:tcPr>
          <w:p>
            <w:pPr>
              <w:spacing w:line="276" w:lineRule="auto"/>
            </w:pPr>
            <w:r/>
            <w:r>
              <w:rPr>
                <w:rFonts w:ascii="Times New Roman" w:hAnsi="Times New Roman"/>
                <w:sz w:val="20"/>
              </w:rPr>
              <w:t>**Relevancia para el proyecto**</w:t>
            </w:r>
          </w:p>
        </w:tc>
        <w:tc>
          <w:tcPr>
            <w:tcW w:type="dxa" w:w="4680"/>
          </w:tcPr>
          <w:p>
            <w:pPr>
              <w:spacing w:line="276" w:lineRule="auto"/>
            </w:pPr>
            <w:r/>
            <w:r>
              <w:rPr>
                <w:rFonts w:ascii="Times New Roman" w:hAnsi="Times New Roman"/>
                <w:sz w:val="20"/>
              </w:rPr>
              <w:t>Sustenta directamente las causas identificadas en el Capítulo 1: el uso de Excel sin automatización genera inconsistencias y retrasos. La evidencia de Syed et al. (2020) respalda la necesidad de automatizar el flujo ETL de las órdenes ARL en SYSO.</w:t>
            </w:r>
          </w:p>
        </w:tc>
      </w:tr>
    </w:tbl>
    <w:p/>
    <w:p>
      <w:pPr>
        <w:ind w:left="720"/>
      </w:pPr>
      <w:r>
        <w:rPr>
          <w:i/>
          <w:sz w:val="20"/>
        </w:rPr>
      </w:r>
      <w:r>
        <w:rPr>
          <w:b/>
          <w:i/>
          <w:sz w:val="20"/>
        </w:rPr>
        <w:t>Nota al pie (Word):</w:t>
      </w:r>
      <w:r>
        <w:rPr>
          <w:i/>
          <w:sz w:val="20"/>
        </w:rPr>
        <w:t xml:space="preserve"> Syed et al. (2020) respalda empíricamente la afirmación del Capítulo 1 sobre las consecuencias del procesamiento manual. Publicado en </w:t>
      </w:r>
      <w:r>
        <w:rPr>
          <w:i/>
          <w:sz w:val="20"/>
        </w:rPr>
        <w:t>Computers in Industry</w:t>
      </w:r>
      <w:r>
        <w:rPr>
          <w:i/>
          <w:sz w:val="20"/>
        </w:rPr>
        <w:t xml:space="preserve"> (Elsevier, Q1, factor de impacto 11.245).</w:t>
      </w:r>
    </w:p>
    <w:p>
      <w:pPr>
        <w:pStyle w:val="Heading3"/>
      </w:pPr>
      <w:r>
        <w:t>Antecedente 7</w:t>
      </w:r>
    </w:p>
    <w:p>
      <w:r/>
      <w:r>
        <w:rPr>
          <w:b/>
        </w:rPr>
        <w:t>Referencia APA 7:</w:t>
      </w:r>
      <w:r/>
    </w:p>
    <w:p>
      <w:r>
        <w:t xml:space="preserve">Llano-Ruiz, J. C., García-García, J. A., &amp; Escalona, M. J. (2024). </w:t>
      </w:r>
      <w:r>
        <w:rPr>
          <w:i/>
        </w:rPr>
        <w:t>Business intelligence and the leverage of information in healthcare organizations from a managerial perspective</w:t>
      </w:r>
      <w:r>
        <w:t>. BMC Health Services Research, 24(1), 385. https://doi.org/10.1186/s12913-024-10838-w</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Elemento</w:t>
            </w:r>
          </w:p>
        </w:tc>
        <w:tc>
          <w:tcPr>
            <w:tcW w:type="dxa" w:w="4680"/>
          </w:tcPr>
          <w:p>
            <w:pPr>
              <w:spacing w:line="276" w:lineRule="auto"/>
            </w:pPr>
            <w:r/>
            <w:r>
              <w:rPr>
                <w:rFonts w:ascii="Times New Roman" w:hAnsi="Times New Roman"/>
                <w:b/>
                <w:sz w:val="20"/>
              </w:rPr>
              <w:t>Descripción</w:t>
            </w:r>
          </w:p>
        </w:tc>
      </w:tr>
      <w:tr>
        <w:tc>
          <w:tcPr>
            <w:tcW w:type="dxa" w:w="4680"/>
          </w:tcPr>
          <w:p>
            <w:pPr>
              <w:spacing w:line="276" w:lineRule="auto"/>
            </w:pPr>
            <w:r/>
            <w:r>
              <w:rPr>
                <w:rFonts w:ascii="Times New Roman" w:hAnsi="Times New Roman"/>
                <w:sz w:val="20"/>
              </w:rPr>
              <w:t>**Objetivo**</w:t>
            </w:r>
          </w:p>
        </w:tc>
        <w:tc>
          <w:tcPr>
            <w:tcW w:type="dxa" w:w="4680"/>
          </w:tcPr>
          <w:p>
            <w:pPr>
              <w:spacing w:line="276" w:lineRule="auto"/>
            </w:pPr>
            <w:r/>
            <w:r>
              <w:rPr>
                <w:rFonts w:ascii="Times New Roman" w:hAnsi="Times New Roman"/>
                <w:sz w:val="20"/>
              </w:rPr>
              <w:t>Analizar el impacto de los sistemas de inteligencia de negocios en la gestión de organizaciones de salud, desde la perspectiva de los directivos y administradores.</w:t>
            </w:r>
          </w:p>
        </w:tc>
      </w:tr>
      <w:tr>
        <w:tc>
          <w:tcPr>
            <w:tcW w:type="dxa" w:w="4680"/>
          </w:tcPr>
          <w:p>
            <w:pPr>
              <w:spacing w:line="276" w:lineRule="auto"/>
            </w:pPr>
            <w:r/>
            <w:r>
              <w:rPr>
                <w:rFonts w:ascii="Times New Roman" w:hAnsi="Times New Roman"/>
                <w:sz w:val="20"/>
              </w:rPr>
              <w:t>**Método**</w:t>
            </w:r>
          </w:p>
        </w:tc>
        <w:tc>
          <w:tcPr>
            <w:tcW w:type="dxa" w:w="4680"/>
          </w:tcPr>
          <w:p>
            <w:pPr>
              <w:spacing w:line="276" w:lineRule="auto"/>
            </w:pPr>
            <w:r/>
            <w:r>
              <w:rPr>
                <w:rFonts w:ascii="Times New Roman" w:hAnsi="Times New Roman"/>
                <w:sz w:val="20"/>
              </w:rPr>
              <w:t>Revisión sistemática de literatura; análisis bibliométrico de 87 artículos publicados entre 2010 y 2023 en Scopus y PubMed.</w:t>
            </w:r>
          </w:p>
        </w:tc>
      </w:tr>
      <w:tr>
        <w:tc>
          <w:tcPr>
            <w:tcW w:type="dxa" w:w="4680"/>
          </w:tcPr>
          <w:p>
            <w:pPr>
              <w:spacing w:line="276" w:lineRule="auto"/>
            </w:pPr>
            <w:r/>
            <w:r>
              <w:rPr>
                <w:rFonts w:ascii="Times New Roman" w:hAnsi="Times New Roman"/>
                <w:sz w:val="20"/>
              </w:rPr>
              <w:t>**Resultados**</w:t>
            </w:r>
          </w:p>
        </w:tc>
        <w:tc>
          <w:tcPr>
            <w:tcW w:type="dxa" w:w="4680"/>
          </w:tcPr>
          <w:p>
            <w:pPr>
              <w:spacing w:line="276" w:lineRule="auto"/>
            </w:pPr>
            <w:r/>
            <w:r>
              <w:rPr>
                <w:rFonts w:ascii="Times New Roman" w:hAnsi="Times New Roman"/>
                <w:sz w:val="20"/>
              </w:rPr>
              <w:t>El 74% de las organizaciones de salud que implementaron sistemas BI reportaron mejoras en la toma de decisiones clínicas y administrativas. Los tableros de indicadores son la herramienta más adoptada para el seguimiento financiero y operativo.</w:t>
            </w:r>
          </w:p>
        </w:tc>
      </w:tr>
      <w:tr>
        <w:tc>
          <w:tcPr>
            <w:tcW w:type="dxa" w:w="4680"/>
          </w:tcPr>
          <w:p>
            <w:pPr>
              <w:spacing w:line="276" w:lineRule="auto"/>
            </w:pPr>
            <w:r/>
            <w:r>
              <w:rPr>
                <w:rFonts w:ascii="Times New Roman" w:hAnsi="Times New Roman"/>
                <w:sz w:val="20"/>
              </w:rPr>
              <w:t>**Relevancia para el proyecto**</w:t>
            </w:r>
          </w:p>
        </w:tc>
        <w:tc>
          <w:tcPr>
            <w:tcW w:type="dxa" w:w="4680"/>
          </w:tcPr>
          <w:p>
            <w:pPr>
              <w:spacing w:line="276" w:lineRule="auto"/>
            </w:pPr>
            <w:r/>
            <w:r>
              <w:rPr>
                <w:rFonts w:ascii="Times New Roman" w:hAnsi="Times New Roman"/>
                <w:sz w:val="20"/>
              </w:rPr>
              <w:t>Valida que los tableros BI son la herramienta más adoptada en salud para el seguimiento financiero y operativo —exactamente el propósito del tablero Python/Flask diseñado para SYSO Empresarial.</w:t>
            </w:r>
          </w:p>
        </w:tc>
      </w:tr>
    </w:tbl>
    <w:p/>
    <w:p>
      <w:pPr>
        <w:ind w:left="720"/>
      </w:pPr>
      <w:r>
        <w:rPr>
          <w:i/>
          <w:sz w:val="20"/>
        </w:rPr>
      </w:r>
      <w:r>
        <w:rPr>
          <w:b/>
          <w:i/>
          <w:sz w:val="20"/>
        </w:rPr>
        <w:t>Nota al pie (Word):</w:t>
      </w:r>
      <w:r>
        <w:rPr>
          <w:i/>
          <w:sz w:val="20"/>
        </w:rPr>
        <w:t xml:space="preserve"> Llano-Ruiz et al. (2024) es una revisión sistemática reciente (PubMed, acceso abierto) que avala la pertinencia del enfoque BI en el sector salud. DOI: https://doi.org/10.1186/s12913-024-10838-w</w:t>
      </w:r>
    </w:p>
    <w:p>
      <w:pPr>
        <w:pStyle w:val="Heading3"/>
      </w:pPr>
      <w:r>
        <w:t>Antecedente 8</w:t>
      </w:r>
    </w:p>
    <w:p>
      <w:r/>
      <w:r>
        <w:rPr>
          <w:b/>
        </w:rPr>
        <w:t>Referencia APA 7:</w:t>
      </w:r>
      <w:r/>
    </w:p>
    <w:p>
      <w:r>
        <w:t xml:space="preserve">Zárate-Castaño, J. M., Moreno-Herrera, J. C., &amp; Duque-Méndez, N. D. (2024). </w:t>
      </w:r>
      <w:r>
        <w:rPr>
          <w:i/>
        </w:rPr>
        <w:t>Construction of the Collection and Billing Process through Process Mining and Business Intelligence: A Case Study of the Colombian Pharmaceutical Sector</w:t>
      </w:r>
      <w:r>
        <w:t>. Preprints.org. https://doi.org/10.20944/preprints202408.0818.v1</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Elemento</w:t>
            </w:r>
          </w:p>
        </w:tc>
        <w:tc>
          <w:tcPr>
            <w:tcW w:type="dxa" w:w="4680"/>
          </w:tcPr>
          <w:p>
            <w:pPr>
              <w:spacing w:line="276" w:lineRule="auto"/>
            </w:pPr>
            <w:r/>
            <w:r>
              <w:rPr>
                <w:rFonts w:ascii="Times New Roman" w:hAnsi="Times New Roman"/>
                <w:b/>
                <w:sz w:val="20"/>
              </w:rPr>
              <w:t>Descripción</w:t>
            </w:r>
          </w:p>
        </w:tc>
      </w:tr>
      <w:tr>
        <w:tc>
          <w:tcPr>
            <w:tcW w:type="dxa" w:w="4680"/>
          </w:tcPr>
          <w:p>
            <w:pPr>
              <w:spacing w:line="276" w:lineRule="auto"/>
            </w:pPr>
            <w:r/>
            <w:r>
              <w:rPr>
                <w:rFonts w:ascii="Times New Roman" w:hAnsi="Times New Roman"/>
                <w:sz w:val="20"/>
              </w:rPr>
              <w:t>**Objetivo**</w:t>
            </w:r>
          </w:p>
        </w:tc>
        <w:tc>
          <w:tcPr>
            <w:tcW w:type="dxa" w:w="4680"/>
          </w:tcPr>
          <w:p>
            <w:pPr>
              <w:spacing w:line="276" w:lineRule="auto"/>
            </w:pPr>
            <w:r/>
            <w:r>
              <w:rPr>
                <w:rFonts w:ascii="Times New Roman" w:hAnsi="Times New Roman"/>
                <w:sz w:val="20"/>
              </w:rPr>
              <w:t>Construir el proceso real de facturación y cartera en una empresa del sector farmacéutico colombiano usando minería de procesos e inteligencia de negocios.</w:t>
            </w:r>
          </w:p>
        </w:tc>
      </w:tr>
      <w:tr>
        <w:tc>
          <w:tcPr>
            <w:tcW w:type="dxa" w:w="4680"/>
          </w:tcPr>
          <w:p>
            <w:pPr>
              <w:spacing w:line="276" w:lineRule="auto"/>
            </w:pPr>
            <w:r/>
            <w:r>
              <w:rPr>
                <w:rFonts w:ascii="Times New Roman" w:hAnsi="Times New Roman"/>
                <w:sz w:val="20"/>
              </w:rPr>
              <w:t>**Método**</w:t>
            </w:r>
          </w:p>
        </w:tc>
        <w:tc>
          <w:tcPr>
            <w:tcW w:type="dxa" w:w="4680"/>
          </w:tcPr>
          <w:p>
            <w:pPr>
              <w:spacing w:line="276" w:lineRule="auto"/>
            </w:pPr>
            <w:r/>
            <w:r>
              <w:rPr>
                <w:rFonts w:ascii="Times New Roman" w:hAnsi="Times New Roman"/>
                <w:sz w:val="20"/>
              </w:rPr>
              <w:t>Process mining con algoritmo Alpha Mining; integración con herramientas BI para visualizar el flujo real de facturación versus el flujo esperado. Contexto: Colombia.</w:t>
            </w:r>
          </w:p>
        </w:tc>
      </w:tr>
      <w:tr>
        <w:tc>
          <w:tcPr>
            <w:tcW w:type="dxa" w:w="4680"/>
          </w:tcPr>
          <w:p>
            <w:pPr>
              <w:spacing w:line="276" w:lineRule="auto"/>
            </w:pPr>
            <w:r/>
            <w:r>
              <w:rPr>
                <w:rFonts w:ascii="Times New Roman" w:hAnsi="Times New Roman"/>
                <w:sz w:val="20"/>
              </w:rPr>
              <w:t>**Resultados**</w:t>
            </w:r>
          </w:p>
        </w:tc>
        <w:tc>
          <w:tcPr>
            <w:tcW w:type="dxa" w:w="4680"/>
          </w:tcPr>
          <w:p>
            <w:pPr>
              <w:spacing w:line="276" w:lineRule="auto"/>
            </w:pPr>
            <w:r/>
            <w:r>
              <w:rPr>
                <w:rFonts w:ascii="Times New Roman" w:hAnsi="Times New Roman"/>
                <w:sz w:val="20"/>
              </w:rPr>
              <w:t>Se identificaron desviaciones significativas entre el proceso de facturación documentado y el proceso real ejecutado, evidenciando cuellos de botella en la radicación de soportes y en la aprobación de facturas.</w:t>
            </w:r>
          </w:p>
        </w:tc>
      </w:tr>
      <w:tr>
        <w:tc>
          <w:tcPr>
            <w:tcW w:type="dxa" w:w="4680"/>
          </w:tcPr>
          <w:p>
            <w:pPr>
              <w:spacing w:line="276" w:lineRule="auto"/>
            </w:pPr>
            <w:r/>
            <w:r>
              <w:rPr>
                <w:rFonts w:ascii="Times New Roman" w:hAnsi="Times New Roman"/>
                <w:sz w:val="20"/>
              </w:rPr>
              <w:t>**Relevancia para el proyecto**</w:t>
            </w:r>
          </w:p>
        </w:tc>
        <w:tc>
          <w:tcPr>
            <w:tcW w:type="dxa" w:w="4680"/>
          </w:tcPr>
          <w:p>
            <w:pPr>
              <w:spacing w:line="276" w:lineRule="auto"/>
            </w:pPr>
            <w:r/>
            <w:r>
              <w:rPr>
                <w:rFonts w:ascii="Times New Roman" w:hAnsi="Times New Roman"/>
                <w:sz w:val="20"/>
              </w:rPr>
              <w:t>Antecedente colombiano directo en facturación y cartera, sector salud. Los hallazgos sobre cuellos de botella en radicación de soportes son análogos al problema identificado en SYSO: órdenes en estado "Soportes Radicados" que no avanzan a facturación.</w:t>
            </w:r>
          </w:p>
        </w:tc>
      </w:tr>
    </w:tbl>
    <w:p/>
    <w:p>
      <w:pPr>
        <w:ind w:left="720"/>
      </w:pPr>
      <w:r>
        <w:rPr>
          <w:i/>
          <w:sz w:val="20"/>
        </w:rPr>
      </w:r>
      <w:r>
        <w:rPr>
          <w:b/>
          <w:i/>
          <w:sz w:val="20"/>
        </w:rPr>
        <w:t>Nota al pie (Word):</w:t>
      </w:r>
      <w:r>
        <w:rPr>
          <w:i/>
          <w:sz w:val="20"/>
        </w:rPr>
        <w:t xml:space="preserve"> Zárate-Castaño et al. (2024) es el antecedente más cercano al KPI de "Cartera Sin Facturar" implementado en el tablero. Disponible en acceso abierto en Preprints.org: https://doi.org/10.20944/preprints202408.0818.v1</w:t>
      </w:r>
    </w:p>
    <w:p>
      <w:pPr>
        <w:pStyle w:val="Heading3"/>
      </w:pPr>
      <w:r>
        <w:t>Antecedente 9</w:t>
      </w:r>
    </w:p>
    <w:p>
      <w:r/>
      <w:r>
        <w:rPr>
          <w:b/>
        </w:rPr>
        <w:t>Referencia APA 7:</w:t>
      </w:r>
      <w:r/>
    </w:p>
    <w:p>
      <w:r>
        <w:t xml:space="preserve">Buendía-García, F., Novak, M., Sotolongo-Aguilar, G., &amp; Peñabaena-Niebles, R. (2024). </w:t>
      </w:r>
      <w:r>
        <w:rPr>
          <w:i/>
        </w:rPr>
        <w:t>Design of logistics indicators for monitoring the COVID-19 vaccination process in Colombia</w:t>
      </w:r>
      <w:r>
        <w:t>. BMC Health Services Research, 24(1), 1367. https://doi.org/10.1186/s12913-024-11843-x</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Elemento</w:t>
            </w:r>
          </w:p>
        </w:tc>
        <w:tc>
          <w:tcPr>
            <w:tcW w:type="dxa" w:w="4680"/>
          </w:tcPr>
          <w:p>
            <w:pPr>
              <w:spacing w:line="276" w:lineRule="auto"/>
            </w:pPr>
            <w:r/>
            <w:r>
              <w:rPr>
                <w:rFonts w:ascii="Times New Roman" w:hAnsi="Times New Roman"/>
                <w:b/>
                <w:sz w:val="20"/>
              </w:rPr>
              <w:t>Descripción</w:t>
            </w:r>
          </w:p>
        </w:tc>
      </w:tr>
      <w:tr>
        <w:tc>
          <w:tcPr>
            <w:tcW w:type="dxa" w:w="4680"/>
          </w:tcPr>
          <w:p>
            <w:pPr>
              <w:spacing w:line="276" w:lineRule="auto"/>
            </w:pPr>
            <w:r/>
            <w:r>
              <w:rPr>
                <w:rFonts w:ascii="Times New Roman" w:hAnsi="Times New Roman"/>
                <w:sz w:val="20"/>
              </w:rPr>
              <w:t>**Objetivo**</w:t>
            </w:r>
          </w:p>
        </w:tc>
        <w:tc>
          <w:tcPr>
            <w:tcW w:type="dxa" w:w="4680"/>
          </w:tcPr>
          <w:p>
            <w:pPr>
              <w:spacing w:line="276" w:lineRule="auto"/>
            </w:pPr>
            <w:r/>
            <w:r>
              <w:rPr>
                <w:rFonts w:ascii="Times New Roman" w:hAnsi="Times New Roman"/>
                <w:sz w:val="20"/>
              </w:rPr>
              <w:t>Diseñar un conjunto de KPIs y un tablero de monitoreo para el seguimiento del proceso de vacunación COVID-19 en Colombia, integrando dimensiones epidemiológicas, humanitarias y logísticas.</w:t>
            </w:r>
          </w:p>
        </w:tc>
      </w:tr>
      <w:tr>
        <w:tc>
          <w:tcPr>
            <w:tcW w:type="dxa" w:w="4680"/>
          </w:tcPr>
          <w:p>
            <w:pPr>
              <w:spacing w:line="276" w:lineRule="auto"/>
            </w:pPr>
            <w:r/>
            <w:r>
              <w:rPr>
                <w:rFonts w:ascii="Times New Roman" w:hAnsi="Times New Roman"/>
                <w:sz w:val="20"/>
              </w:rPr>
              <w:t>**Método**</w:t>
            </w:r>
          </w:p>
        </w:tc>
        <w:tc>
          <w:tcPr>
            <w:tcW w:type="dxa" w:w="4680"/>
          </w:tcPr>
          <w:p>
            <w:pPr>
              <w:spacing w:line="276" w:lineRule="auto"/>
            </w:pPr>
            <w:r/>
            <w:r>
              <w:rPr>
                <w:rFonts w:ascii="Times New Roman" w:hAnsi="Times New Roman"/>
                <w:sz w:val="20"/>
              </w:rPr>
              <w:t>Investigación de diseño (Design Science Research); tres ciclos iterativos de validación con actores públicos y privados del sistema de salud colombiano.</w:t>
            </w:r>
          </w:p>
        </w:tc>
      </w:tr>
      <w:tr>
        <w:tc>
          <w:tcPr>
            <w:tcW w:type="dxa" w:w="4680"/>
          </w:tcPr>
          <w:p>
            <w:pPr>
              <w:spacing w:line="276" w:lineRule="auto"/>
            </w:pPr>
            <w:r/>
            <w:r>
              <w:rPr>
                <w:rFonts w:ascii="Times New Roman" w:hAnsi="Times New Roman"/>
                <w:sz w:val="20"/>
              </w:rPr>
              <w:t>**Resultados**</w:t>
            </w:r>
          </w:p>
        </w:tc>
        <w:tc>
          <w:tcPr>
            <w:tcW w:type="dxa" w:w="4680"/>
          </w:tcPr>
          <w:p>
            <w:pPr>
              <w:spacing w:line="276" w:lineRule="auto"/>
            </w:pPr>
            <w:r/>
            <w:r>
              <w:rPr>
                <w:rFonts w:ascii="Times New Roman" w:hAnsi="Times New Roman"/>
                <w:sz w:val="20"/>
              </w:rPr>
              <w:t>El tablero integró 18 KPIs validados con stakeholders reales. El proceso iterativo de validación garantizó la pertinencia de los indicadores para la toma de decisiones operativas y estratégicas.</w:t>
            </w:r>
          </w:p>
        </w:tc>
      </w:tr>
      <w:tr>
        <w:tc>
          <w:tcPr>
            <w:tcW w:type="dxa" w:w="4680"/>
          </w:tcPr>
          <w:p>
            <w:pPr>
              <w:spacing w:line="276" w:lineRule="auto"/>
            </w:pPr>
            <w:r/>
            <w:r>
              <w:rPr>
                <w:rFonts w:ascii="Times New Roman" w:hAnsi="Times New Roman"/>
                <w:sz w:val="20"/>
              </w:rPr>
              <w:t>**Relevancia para el proyecto**</w:t>
            </w:r>
          </w:p>
        </w:tc>
        <w:tc>
          <w:tcPr>
            <w:tcW w:type="dxa" w:w="4680"/>
          </w:tcPr>
          <w:p>
            <w:pPr>
              <w:spacing w:line="276" w:lineRule="auto"/>
            </w:pPr>
            <w:r/>
            <w:r>
              <w:rPr>
                <w:rFonts w:ascii="Times New Roman" w:hAnsi="Times New Roman"/>
                <w:sz w:val="20"/>
              </w:rPr>
              <w:t>Referente nacional (Colombia) de diseño de KPIs en salud con metodología rigurosa. El enfoque iterativo de validación es aplicable al proceso de definición de los 6 KPIs del tablero SYSO, y la lógica de indicadores logísticos es análoga a los indicadores de gestión de órdenes ARL.</w:t>
            </w:r>
          </w:p>
        </w:tc>
      </w:tr>
    </w:tbl>
    <w:p/>
    <w:p>
      <w:pPr>
        <w:ind w:left="720"/>
      </w:pPr>
      <w:r>
        <w:rPr>
          <w:i/>
          <w:sz w:val="20"/>
        </w:rPr>
      </w:r>
      <w:r>
        <w:rPr>
          <w:b/>
          <w:i/>
          <w:sz w:val="20"/>
        </w:rPr>
        <w:t>Nota al pie (Word):</w:t>
      </w:r>
      <w:r>
        <w:rPr>
          <w:i/>
          <w:sz w:val="20"/>
        </w:rPr>
        <w:t xml:space="preserve"> Buendía-García et al. (2024) es el antecedente nacional más reciente y metodológicamente robusto en diseño de KPIs para salud en Colombia. Publicado en </w:t>
      </w:r>
      <w:r>
        <w:rPr>
          <w:i/>
          <w:sz w:val="20"/>
        </w:rPr>
        <w:t>BMC Health Services Research</w:t>
      </w:r>
      <w:r>
        <w:rPr>
          <w:i/>
          <w:sz w:val="20"/>
        </w:rPr>
        <w:t xml:space="preserve"> (Springer, Q1, acceso abierto). DOI: https://doi.org/10.1186/s12913-024-11843-x</w:t>
      </w:r>
    </w:p>
    <w:p>
      <w:pPr>
        <w:pStyle w:val="Heading3"/>
      </w:pPr>
      <w:r>
        <w:t>Antecedente 10</w:t>
      </w:r>
    </w:p>
    <w:p>
      <w:r/>
      <w:r>
        <w:rPr>
          <w:b/>
        </w:rPr>
        <w:t>Referencia APA 7:</w:t>
      </w:r>
      <w:r/>
    </w:p>
    <w:p>
      <w:r>
        <w:t xml:space="preserve">Niño-Torres, D. M., Ariza-Colpas, P. P., Morales-García, S., Piñeres-Melo, M. A., &amp; Quintero-Linero, A. P. (2022). </w:t>
      </w:r>
      <w:r>
        <w:rPr>
          <w:i/>
        </w:rPr>
        <w:t>Caracterización de usuarios de salud mediante inteligencia de negocios en el sector asegurador colombiano</w:t>
      </w:r>
      <w:r>
        <w:t>. [Tesis de maestría, Universidad Autónoma de Bucaramanga]. Repositorio UNAB. https://apolo.unab.edu.co/en/studentTheses/caracterización-de-usuarios-de-salud</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Elemento</w:t>
            </w:r>
          </w:p>
        </w:tc>
        <w:tc>
          <w:tcPr>
            <w:tcW w:type="dxa" w:w="4680"/>
          </w:tcPr>
          <w:p>
            <w:pPr>
              <w:spacing w:line="276" w:lineRule="auto"/>
            </w:pPr>
            <w:r/>
            <w:r>
              <w:rPr>
                <w:rFonts w:ascii="Times New Roman" w:hAnsi="Times New Roman"/>
                <w:b/>
                <w:sz w:val="20"/>
              </w:rPr>
              <w:t>Descripción</w:t>
            </w:r>
          </w:p>
        </w:tc>
      </w:tr>
      <w:tr>
        <w:tc>
          <w:tcPr>
            <w:tcW w:type="dxa" w:w="4680"/>
          </w:tcPr>
          <w:p>
            <w:pPr>
              <w:spacing w:line="276" w:lineRule="auto"/>
            </w:pPr>
            <w:r/>
            <w:r>
              <w:rPr>
                <w:rFonts w:ascii="Times New Roman" w:hAnsi="Times New Roman"/>
                <w:sz w:val="20"/>
              </w:rPr>
              <w:t>**Objetivo**</w:t>
            </w:r>
          </w:p>
        </w:tc>
        <w:tc>
          <w:tcPr>
            <w:tcW w:type="dxa" w:w="4680"/>
          </w:tcPr>
          <w:p>
            <w:pPr>
              <w:spacing w:line="276" w:lineRule="auto"/>
            </w:pPr>
            <w:r/>
            <w:r>
              <w:rPr>
                <w:rFonts w:ascii="Times New Roman" w:hAnsi="Times New Roman"/>
                <w:sz w:val="20"/>
              </w:rPr>
              <w:t>Caracterizar la base de usuarios de salud de una compañía del sector asegurador colombiano mediante herramientas de inteligencia de negocios, para orientar el diseño de nuevos productos y planes de acción.</w:t>
            </w:r>
          </w:p>
        </w:tc>
      </w:tr>
      <w:tr>
        <w:tc>
          <w:tcPr>
            <w:tcW w:type="dxa" w:w="4680"/>
          </w:tcPr>
          <w:p>
            <w:pPr>
              <w:spacing w:line="276" w:lineRule="auto"/>
            </w:pPr>
            <w:r/>
            <w:r>
              <w:rPr>
                <w:rFonts w:ascii="Times New Roman" w:hAnsi="Times New Roman"/>
                <w:sz w:val="20"/>
              </w:rPr>
              <w:t>**Método**</w:t>
            </w:r>
          </w:p>
        </w:tc>
        <w:tc>
          <w:tcPr>
            <w:tcW w:type="dxa" w:w="4680"/>
          </w:tcPr>
          <w:p>
            <w:pPr>
              <w:spacing w:line="276" w:lineRule="auto"/>
            </w:pPr>
            <w:r/>
            <w:r>
              <w:rPr>
                <w:rFonts w:ascii="Times New Roman" w:hAnsi="Times New Roman"/>
                <w:sz w:val="20"/>
              </w:rPr>
              <w:t>Analítica descriptiva y clustering; construcción de modelo BI con ETL, cubo de datos y tablero interactivo. Contexto: Colombia, sector asegurador en salud.</w:t>
            </w:r>
          </w:p>
        </w:tc>
      </w:tr>
      <w:tr>
        <w:tc>
          <w:tcPr>
            <w:tcW w:type="dxa" w:w="4680"/>
          </w:tcPr>
          <w:p>
            <w:pPr>
              <w:spacing w:line="276" w:lineRule="auto"/>
            </w:pPr>
            <w:r/>
            <w:r>
              <w:rPr>
                <w:rFonts w:ascii="Times New Roman" w:hAnsi="Times New Roman"/>
                <w:sz w:val="20"/>
              </w:rPr>
              <w:t>**Resultados**</w:t>
            </w:r>
          </w:p>
        </w:tc>
        <w:tc>
          <w:tcPr>
            <w:tcW w:type="dxa" w:w="4680"/>
          </w:tcPr>
          <w:p>
            <w:pPr>
              <w:spacing w:line="276" w:lineRule="auto"/>
            </w:pPr>
            <w:r/>
            <w:r>
              <w:rPr>
                <w:rFonts w:ascii="Times New Roman" w:hAnsi="Times New Roman"/>
                <w:sz w:val="20"/>
              </w:rPr>
              <w:t>La solución BI permitió segmentar la población de usuarios en perfiles de riesgo y uso de servicios, facilitando la identificación de patrones de consumo y la optimización de la oferta de servicios de salud.</w:t>
            </w:r>
          </w:p>
        </w:tc>
      </w:tr>
      <w:tr>
        <w:tc>
          <w:tcPr>
            <w:tcW w:type="dxa" w:w="4680"/>
          </w:tcPr>
          <w:p>
            <w:pPr>
              <w:spacing w:line="276" w:lineRule="auto"/>
            </w:pPr>
            <w:r/>
            <w:r>
              <w:rPr>
                <w:rFonts w:ascii="Times New Roman" w:hAnsi="Times New Roman"/>
                <w:sz w:val="20"/>
              </w:rPr>
              <w:t>**Relevancia para el proyecto**</w:t>
            </w:r>
          </w:p>
        </w:tc>
        <w:tc>
          <w:tcPr>
            <w:tcW w:type="dxa" w:w="4680"/>
          </w:tcPr>
          <w:p>
            <w:pPr>
              <w:spacing w:line="276" w:lineRule="auto"/>
            </w:pPr>
            <w:r/>
            <w:r>
              <w:rPr>
                <w:rFonts w:ascii="Times New Roman" w:hAnsi="Times New Roman"/>
                <w:sz w:val="20"/>
              </w:rPr>
              <w:t>Antecedente colombiano en BI aplicado al sector asegurador de salud. El proceso de caracterización de usuarios es análogo al análisis por ARL que realiza el tablero SYSO, donde cada ARL representa un perfil diferenciado de demanda y cumplimiento.</w:t>
            </w:r>
          </w:p>
        </w:tc>
      </w:tr>
    </w:tbl>
    <w:p/>
    <w:p>
      <w:pPr>
        <w:ind w:left="720"/>
      </w:pPr>
      <w:r>
        <w:rPr>
          <w:i/>
          <w:sz w:val="20"/>
        </w:rPr>
      </w:r>
      <w:r>
        <w:rPr>
          <w:b/>
          <w:i/>
          <w:sz w:val="20"/>
        </w:rPr>
        <w:t>Nota al pie (Word):</w:t>
      </w:r>
      <w:r>
        <w:rPr>
          <w:i/>
          <w:sz w:val="20"/>
        </w:rPr>
        <w:t xml:space="preserve"> Este trabajo de grado del sector asegurador colombiano es el antecedente más próximo al contexto organizacional de SYSO Empresarial. Disponible en el repositorio institucional de la UNAB: https://apolo.unab.edu.co</w:t>
      </w:r>
    </w:p>
    <w:p>
      <w:pPr>
        <w:pStyle w:val="Heading2"/>
      </w:pPr>
      <w:r>
        <w:t>2. Marco Teórico y Conceptual</w:t>
      </w:r>
    </w:p>
    <w:p>
      <w:pPr>
        <w:pStyle w:val="Heading3"/>
      </w:pPr>
      <w:r>
        <w:t>2.1 Metodologías</w:t>
      </w:r>
    </w:p>
    <w:p>
      <w:pPr>
        <w:pStyle w:val="Heading4"/>
      </w:pPr>
      <w:r>
        <w:t>2.1.1 CRISP-DM</w:t>
      </w:r>
    </w:p>
    <w:p>
      <w:r>
        <w:t>La metodología CRISP-DM (Cross-Industry Standard Process for Data Mining) es el estándar de referencia para la gestión del ciclo de vida de proyectos de analítica de datos. Comprende seis fases: comprensión del negocio, comprensión de los datos, preparación de los datos, modelado, evaluación y despliegue (Chapman et al., 2000). Su carácter iterativo permite revisar fases anteriores conforme avanza el proyecto.¹</w:t>
      </w:r>
    </w:p>
    <w:p>
      <w:r>
        <w:t>En el presente proyecto, las fases se aplican de la siguiente manera:</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Fase CRISP-DM</w:t>
            </w:r>
          </w:p>
        </w:tc>
        <w:tc>
          <w:tcPr>
            <w:tcW w:type="dxa" w:w="4680"/>
          </w:tcPr>
          <w:p>
            <w:pPr>
              <w:spacing w:line="276" w:lineRule="auto"/>
            </w:pPr>
            <w:r/>
            <w:r>
              <w:rPr>
                <w:rFonts w:ascii="Times New Roman" w:hAnsi="Times New Roman"/>
                <w:b/>
                <w:sz w:val="20"/>
              </w:rPr>
              <w:t>Aplicación en el proyecto</w:t>
            </w:r>
          </w:p>
        </w:tc>
      </w:tr>
      <w:tr>
        <w:tc>
          <w:tcPr>
            <w:tcW w:type="dxa" w:w="4680"/>
          </w:tcPr>
          <w:p>
            <w:pPr>
              <w:spacing w:line="276" w:lineRule="auto"/>
            </w:pPr>
            <w:r/>
            <w:r>
              <w:rPr>
                <w:rFonts w:ascii="Times New Roman" w:hAnsi="Times New Roman"/>
                <w:sz w:val="20"/>
              </w:rPr>
              <w:t>1. Comprensión del negocio</w:t>
            </w:r>
          </w:p>
        </w:tc>
        <w:tc>
          <w:tcPr>
            <w:tcW w:type="dxa" w:w="4680"/>
          </w:tcPr>
          <w:p>
            <w:pPr>
              <w:spacing w:line="276" w:lineRule="auto"/>
            </w:pPr>
            <w:r/>
            <w:r>
              <w:rPr>
                <w:rFonts w:ascii="Times New Roman" w:hAnsi="Times New Roman"/>
                <w:sz w:val="20"/>
              </w:rPr>
              <w:t>Diagnóstico del proceso ARL, entrevistas, árbol del problema (Cap. 1)</w:t>
            </w:r>
          </w:p>
        </w:tc>
      </w:tr>
      <w:tr>
        <w:tc>
          <w:tcPr>
            <w:tcW w:type="dxa" w:w="4680"/>
          </w:tcPr>
          <w:p>
            <w:pPr>
              <w:spacing w:line="276" w:lineRule="auto"/>
            </w:pPr>
            <w:r/>
            <w:r>
              <w:rPr>
                <w:rFonts w:ascii="Times New Roman" w:hAnsi="Times New Roman"/>
                <w:sz w:val="20"/>
              </w:rPr>
              <w:t>2. Comprensión de los datos</w:t>
            </w:r>
          </w:p>
        </w:tc>
        <w:tc>
          <w:tcPr>
            <w:tcW w:type="dxa" w:w="4680"/>
          </w:tcPr>
          <w:p>
            <w:pPr>
              <w:spacing w:line="276" w:lineRule="auto"/>
            </w:pPr>
            <w:r/>
            <w:r>
              <w:rPr>
                <w:rFonts w:ascii="Times New Roman" w:hAnsi="Times New Roman"/>
                <w:sz w:val="20"/>
              </w:rPr>
              <w:t>Revisión de la Matriz ARL 2026, identificación de variables y calidad</w:t>
            </w:r>
          </w:p>
        </w:tc>
      </w:tr>
      <w:tr>
        <w:tc>
          <w:tcPr>
            <w:tcW w:type="dxa" w:w="4680"/>
          </w:tcPr>
          <w:p>
            <w:pPr>
              <w:spacing w:line="276" w:lineRule="auto"/>
            </w:pPr>
            <w:r/>
            <w:r>
              <w:rPr>
                <w:rFonts w:ascii="Times New Roman" w:hAnsi="Times New Roman"/>
                <w:sz w:val="20"/>
              </w:rPr>
              <w:t>3. Preparación de los datos</w:t>
            </w:r>
          </w:p>
        </w:tc>
        <w:tc>
          <w:tcPr>
            <w:tcW w:type="dxa" w:w="4680"/>
          </w:tcPr>
          <w:p>
            <w:pPr>
              <w:spacing w:line="276" w:lineRule="auto"/>
            </w:pPr>
            <w:r/>
            <w:r>
              <w:rPr>
                <w:rFonts w:ascii="Times New Roman" w:hAnsi="Times New Roman"/>
                <w:sz w:val="20"/>
              </w:rPr>
              <w:t>Proceso ETL: carga Excel → repositorio → transformación en memoria</w:t>
            </w:r>
          </w:p>
        </w:tc>
      </w:tr>
      <w:tr>
        <w:tc>
          <w:tcPr>
            <w:tcW w:type="dxa" w:w="4680"/>
          </w:tcPr>
          <w:p>
            <w:pPr>
              <w:spacing w:line="276" w:lineRule="auto"/>
            </w:pPr>
            <w:r/>
            <w:r>
              <w:rPr>
                <w:rFonts w:ascii="Times New Roman" w:hAnsi="Times New Roman"/>
                <w:sz w:val="20"/>
              </w:rPr>
              <w:t>4. Modelado</w:t>
            </w:r>
          </w:p>
        </w:tc>
        <w:tc>
          <w:tcPr>
            <w:tcW w:type="dxa" w:w="4680"/>
          </w:tcPr>
          <w:p>
            <w:pPr>
              <w:spacing w:line="276" w:lineRule="auto"/>
            </w:pPr>
            <w:r/>
            <w:r>
              <w:rPr>
                <w:rFonts w:ascii="Times New Roman" w:hAnsi="Times New Roman"/>
                <w:sz w:val="20"/>
              </w:rPr>
              <w:t>Regresión lineal OLS para proyección de ingresos; cálculo de KPIs</w:t>
            </w:r>
          </w:p>
        </w:tc>
      </w:tr>
      <w:tr>
        <w:tc>
          <w:tcPr>
            <w:tcW w:type="dxa" w:w="4680"/>
          </w:tcPr>
          <w:p>
            <w:pPr>
              <w:spacing w:line="276" w:lineRule="auto"/>
            </w:pPr>
            <w:r/>
            <w:r>
              <w:rPr>
                <w:rFonts w:ascii="Times New Roman" w:hAnsi="Times New Roman"/>
                <w:sz w:val="20"/>
              </w:rPr>
              <w:t>5. Evaluación</w:t>
            </w:r>
          </w:p>
        </w:tc>
        <w:tc>
          <w:tcPr>
            <w:tcW w:type="dxa" w:w="4680"/>
          </w:tcPr>
          <w:p>
            <w:pPr>
              <w:spacing w:line="276" w:lineRule="auto"/>
            </w:pPr>
            <w:r/>
            <w:r>
              <w:rPr>
                <w:rFonts w:ascii="Times New Roman" w:hAnsi="Times New Roman"/>
                <w:sz w:val="20"/>
              </w:rPr>
              <w:t>Validación de KPIs con el personal administrativo de la IPS</w:t>
            </w:r>
          </w:p>
        </w:tc>
      </w:tr>
      <w:tr>
        <w:tc>
          <w:tcPr>
            <w:tcW w:type="dxa" w:w="4680"/>
          </w:tcPr>
          <w:p>
            <w:pPr>
              <w:spacing w:line="276" w:lineRule="auto"/>
            </w:pPr>
            <w:r/>
            <w:r>
              <w:rPr>
                <w:rFonts w:ascii="Times New Roman" w:hAnsi="Times New Roman"/>
                <w:sz w:val="20"/>
              </w:rPr>
              <w:t>6. Despliegue</w:t>
            </w:r>
          </w:p>
        </w:tc>
        <w:tc>
          <w:tcPr>
            <w:tcW w:type="dxa" w:w="4680"/>
          </w:tcPr>
          <w:p>
            <w:pPr>
              <w:spacing w:line="276" w:lineRule="auto"/>
            </w:pPr>
            <w:r/>
            <w:r>
              <w:rPr>
                <w:rFonts w:ascii="Times New Roman" w:hAnsi="Times New Roman"/>
                <w:sz w:val="20"/>
              </w:rPr>
              <w:t>Tablero Flask desplegado en Render: https://syso-bi-dashboard.onrender.com</w:t>
            </w:r>
          </w:p>
        </w:tc>
      </w:tr>
    </w:tbl>
    <w:p/>
    <w:p>
      <w:pPr>
        <w:ind w:left="720"/>
      </w:pPr>
      <w:r>
        <w:rPr>
          <w:i/>
          <w:sz w:val="20"/>
        </w:rPr>
        <w:t xml:space="preserve">¹ </w:t>
      </w:r>
      <w:r>
        <w:rPr>
          <w:b/>
          <w:i/>
          <w:sz w:val="20"/>
        </w:rPr>
        <w:t>Nota al pie:</w:t>
      </w:r>
      <w:r>
        <w:rPr>
          <w:i/>
          <w:sz w:val="20"/>
        </w:rPr>
        <w:t xml:space="preserve"> Chapman et al. (2000) es la guía original de CRISP-DM, desarrollada por un consorcio de empresas líderes en minería de datos. Su vigencia es reconocida en estudios recientes como el de Schröer et al. (2021), quienes confirman que CRISP-DM sigue siendo la metodología más utilizada en proyectos de ciencia de datos a nivel mundial. Véase: Schröer, C., Kruse, F., &amp; Gómez, J. M. (2021). A systematic literature review on applying CRISP-DM process model. </w:t>
      </w:r>
      <w:r>
        <w:rPr>
          <w:i/>
          <w:sz w:val="20"/>
        </w:rPr>
        <w:t>Procedia Computer Science</w:t>
      </w:r>
      <w:r>
        <w:rPr>
          <w:i/>
          <w:sz w:val="20"/>
        </w:rPr>
        <w:t>, 181, 526–534.</w:t>
      </w:r>
    </w:p>
    <w:p>
      <w:pPr>
        <w:pStyle w:val="Heading4"/>
      </w:pPr>
      <w:r>
        <w:t>2.1.2 Analítica Descriptiva y Visualización de Datos</w:t>
      </w:r>
    </w:p>
    <w:p>
      <w:r>
        <w:t>La analítica descriptiva transforma los datos operativos en información clara y procesable, facilitando la identificación de patrones, cuellos de botella y tendencias (Few, 2012).² En combinación con técnicas de visualización, permite comunicar hallazgos de manera efectiva a distintos niveles organizacionales.</w:t>
      </w:r>
    </w:p>
    <w:p>
      <w:pPr>
        <w:ind w:left="720"/>
      </w:pPr>
      <w:r>
        <w:rPr>
          <w:i/>
          <w:sz w:val="20"/>
        </w:rPr>
        <w:t xml:space="preserve">² </w:t>
      </w:r>
      <w:r>
        <w:rPr>
          <w:b/>
          <w:i/>
          <w:sz w:val="20"/>
        </w:rPr>
        <w:t>Nota al pie:</w:t>
      </w:r>
      <w:r>
        <w:rPr>
          <w:i/>
          <w:sz w:val="20"/>
        </w:rPr>
        <w:t xml:space="preserve"> Few, S. (2012). </w:t>
      </w:r>
      <w:r>
        <w:rPr>
          <w:i/>
          <w:sz w:val="20"/>
        </w:rPr>
        <w:t>Show me the numbers: Designing tables and graphs to enlighten</w:t>
      </w:r>
      <w:r>
        <w:rPr>
          <w:i/>
          <w:sz w:val="20"/>
        </w:rPr>
        <w:t xml:space="preserve"> (2.ª ed.). Analytics Press. Es la referencia canónica en diseño de visualizaciones de datos para contextos empresariales. Las recomendaciones de Few se aplican en el tablero SYSO mediante el uso de la paleta Okabe-Ito (accesibilidad daltónica) y los principios de las Variables de Bertin.</w:t>
      </w:r>
    </w:p>
    <w:p>
      <w:pPr>
        <w:pStyle w:val="Heading3"/>
      </w:pPr>
      <w:r>
        <w:t>2.2 Conceptos Clave</w:t>
      </w:r>
    </w:p>
    <w:p>
      <w:pPr>
        <w:pStyle w:val="Heading4"/>
      </w:pPr>
      <w:r>
        <w:t>2.2.1 Inteligencia de Negocios (BI)</w:t>
      </w:r>
    </w:p>
    <w:p>
      <w:r>
        <w:t>Conjunto de herramientas, tecnologías y prácticas orientadas a consolidar, analizar y visualizar información de manera interactiva para apoyar la toma de decisiones organizacionales (Chaudhuri et al., 2011).³ Una solución BI integra datos de múltiples fuentes en un repositorio unificado, habilitando análisis históricos, en tiempo real y proyectivos.</w:t>
      </w:r>
    </w:p>
    <w:p>
      <w:pPr>
        <w:ind w:left="720"/>
      </w:pPr>
      <w:r>
        <w:rPr>
          <w:i/>
          <w:sz w:val="20"/>
        </w:rPr>
        <w:t xml:space="preserve">³ </w:t>
      </w:r>
      <w:r>
        <w:rPr>
          <w:b/>
          <w:i/>
          <w:sz w:val="20"/>
        </w:rPr>
        <w:t>Nota al pie:</w:t>
      </w:r>
      <w:r>
        <w:rPr>
          <w:i/>
          <w:sz w:val="20"/>
        </w:rPr>
        <w:t xml:space="preserve"> Chaudhuri, S., Dayal, U., &amp; Narasayya, V. (2011). An overview of business intelligence technology. </w:t>
      </w:r>
      <w:r>
        <w:rPr>
          <w:i/>
          <w:sz w:val="20"/>
        </w:rPr>
        <w:t>Communications of the ACM</w:t>
      </w:r>
      <w:r>
        <w:rPr>
          <w:i/>
          <w:sz w:val="20"/>
        </w:rPr>
        <w:t>, 54(8), 88–98. https://doi.org/10.1145/1978542.1978562 — Referencia seminal publicada en la revista de mayor impacto en ciencias de la computación (ACM).</w:t>
      </w:r>
    </w:p>
    <w:p>
      <w:pPr>
        <w:pStyle w:val="Heading4"/>
      </w:pPr>
      <w:r>
        <w:t>2.2.2 Indicadores Clave de Desempeño (KPI)</w:t>
      </w:r>
    </w:p>
    <w:p>
      <w:r>
        <w:t>Los KPI (Key Performance Indicators) son métricas cuantificables que permiten evaluar el grado de cumplimiento de los objetivos estratégicos y operativos de una organización (Parmenter, 2015).⁴ En el contexto de la IPS SYSO Empresarial, los KPI definidos para el tablero son: total de órdenes, ingresos totales, tasa de cumplimiento, órdenes en gestión activa, cartera sin facturar y tiempo promedio de facturación.</w:t>
      </w:r>
    </w:p>
    <w:p>
      <w:pPr>
        <w:ind w:left="720"/>
      </w:pPr>
      <w:r>
        <w:rPr>
          <w:i/>
          <w:sz w:val="20"/>
        </w:rPr>
        <w:t xml:space="preserve">⁴ </w:t>
      </w:r>
      <w:r>
        <w:rPr>
          <w:b/>
          <w:i/>
          <w:sz w:val="20"/>
        </w:rPr>
        <w:t>Nota al pie:</w:t>
      </w:r>
      <w:r>
        <w:rPr>
          <w:i/>
          <w:sz w:val="20"/>
        </w:rPr>
        <w:t xml:space="preserve"> Parmenter, D. (2015). </w:t>
      </w:r>
      <w:r>
        <w:rPr>
          <w:i/>
          <w:sz w:val="20"/>
        </w:rPr>
        <w:t>Key performance indicators: Developing, implementing, and using winning KPIs</w:t>
      </w:r>
      <w:r>
        <w:rPr>
          <w:i/>
          <w:sz w:val="20"/>
        </w:rPr>
        <w:t xml:space="preserve"> (3.ª ed.). John Wiley &amp; Sons. Es la referencia más citada en la literatura de gestión sobre diseño e implementación de KPIs en organizaciones.</w:t>
      </w:r>
    </w:p>
    <w:p>
      <w:pPr>
        <w:pStyle w:val="Heading4"/>
      </w:pPr>
      <w:r>
        <w:t>2.2.3 Integración y Automatización de Datos (ETL)</w:t>
      </w:r>
    </w:p>
    <w:p>
      <w:r>
        <w:t>El proceso ETL (Extracción, Transformación y Carga) comprende las operaciones de obtención de datos desde fuentes heterogéneas, su limpieza y estandarización, y su carga en un repositorio centralizado para su análisis (Abelló et al., 2022).⁵ Es el componente técnico que garantiza la calidad, consistencia y disponibilidad de la información a lo largo del ciclo operativo.</w:t>
      </w:r>
    </w:p>
    <w:p>
      <w:pPr>
        <w:ind w:left="720"/>
      </w:pPr>
      <w:r>
        <w:rPr>
          <w:i/>
          <w:sz w:val="20"/>
        </w:rPr>
        <w:t xml:space="preserve">⁵ </w:t>
      </w:r>
      <w:r>
        <w:rPr>
          <w:b/>
          <w:i/>
          <w:sz w:val="20"/>
        </w:rPr>
        <w:t>Nota al pie:</w:t>
      </w:r>
      <w:r>
        <w:rPr>
          <w:i/>
          <w:sz w:val="20"/>
        </w:rPr>
        <w:t xml:space="preserve"> Abelló et al. (2022) es la revisión más actualizada sobre modelado ETL disponible en acceso abierto. DOI: https://doi.org/10.3390/data7080113. En el proyecto SYSO, el ETL se implementa mediante la carga de archivos .xlsx al repositorio en memoria (patrón Repository/DAO), con transformación de campos y validación de tipos de dato.</w:t>
      </w:r>
    </w:p>
    <w:p>
      <w:pPr>
        <w:pStyle w:val="Heading4"/>
      </w:pPr>
      <w:r>
        <w:t>2.2.4 Tablero Web Personalizado (Dashboard)</w:t>
      </w:r>
    </w:p>
    <w:p>
      <w:r>
        <w:t>Interfaz de visualización interactiva que presenta en tiempo real los indicadores clave del proceso, facilitando el monitoreo continuo y la toma de decisiones gerenciales (Few, 2012). En este proyecto se desarrolló un tablero web en Python y Flask, accesible desde cualquier navegador, que integra los 6 KPIs principales, 4 gráficos interactivos y módulos de análisis detallado mediante modales.</w:t>
      </w:r>
    </w:p>
    <w:p>
      <w:pPr>
        <w:pStyle w:val="Heading4"/>
      </w:pPr>
      <w:r>
        <w:t>2.2.5 Analítica de Datos vs. Ciencia de Datos</w:t>
      </w:r>
    </w:p>
    <w:p>
      <w:r>
        <w:t>La analítica de datos se enfoca en describir, diagnosticar y proyectar el comportamiento de variables de negocio mediante estadística descriptiva, visualización e indicadores (Davenport &amp; Harris, 2007).⁶ La ciencia de datos, por su parte, incorpora adicionalmente técnicas de aprendizaje automático y modelado predictivo complejo. El presente proyecto se sitúa en el dominio de la analítica de datos con un componente predictivo de regresión lineal, sin alcanzar el nivel de complejidad algorítmica de la ciencia de datos.</w:t>
      </w:r>
    </w:p>
    <w:p>
      <w:pPr>
        <w:ind w:left="720"/>
      </w:pPr>
      <w:r>
        <w:rPr>
          <w:i/>
          <w:sz w:val="20"/>
        </w:rPr>
        <w:t xml:space="preserve">⁶ </w:t>
      </w:r>
      <w:r>
        <w:rPr>
          <w:b/>
          <w:i/>
          <w:sz w:val="20"/>
        </w:rPr>
        <w:t>Nota al pie:</w:t>
      </w:r>
      <w:r>
        <w:rPr>
          <w:i/>
          <w:sz w:val="20"/>
        </w:rPr>
        <w:t xml:space="preserve"> Davenport, T. H., &amp; Harris, J. G. (2007). </w:t>
      </w:r>
      <w:r>
        <w:rPr>
          <w:i/>
          <w:sz w:val="20"/>
        </w:rPr>
        <w:t>Competing on analytics: The new science of winning</w:t>
      </w:r>
      <w:r>
        <w:rPr>
          <w:i/>
          <w:sz w:val="20"/>
        </w:rPr>
        <w:t>. Harvard Business School Press. Obra fundacional que distingue los niveles de madurez analítica en las organizaciones, desde el reporte descriptivo hasta la optimización prescriptiva.</w:t>
      </w:r>
    </w:p>
    <w:p>
      <w:pPr>
        <w:pStyle w:val="Heading3"/>
      </w:pPr>
      <w:r>
        <w:t>2.3 Tipos de Analítica</w:t>
      </w:r>
    </w:p>
    <w:p>
      <w:pPr>
        <w:pStyle w:val="Heading4"/>
      </w:pPr>
      <w:r>
        <w:t>2.3.1 Analítica Descriptiva</w:t>
      </w:r>
    </w:p>
    <w:p>
      <w:r>
        <w:t xml:space="preserve">Responde a la pregunta: </w:t>
      </w:r>
      <w:r>
        <w:rPr>
          <w:i/>
        </w:rPr>
        <w:t>¿qué pasó?</w:t>
      </w:r>
      <w:r>
        <w:t xml:space="preserve"> Transforma datos históricos en resúmenes, gráficos e indicadores que permiten comprender el estado actual del proceso. Es el tipo de analítica predominante en el tablero SYSO: los 6 KPIs, los 4 gráficos y los modales de detalle son todos componentes de analítica descriptiva.</w:t>
      </w:r>
    </w:p>
    <w:p>
      <w:pPr>
        <w:pStyle w:val="Heading4"/>
      </w:pPr>
      <w:r>
        <w:t>2.3.2 Analítica Predictiva</w:t>
      </w:r>
    </w:p>
    <w:p>
      <w:r>
        <w:t xml:space="preserve">Responde a la pregunta: </w:t>
      </w:r>
      <w:r>
        <w:rPr>
          <w:i/>
        </w:rPr>
        <w:t>¿qué podría pasar?</w:t>
      </w:r>
      <w:r>
        <w:t xml:space="preserve"> Utiliza modelos estadísticos o de aprendizaje automático para proyectar comportamientos futuros a partir de tendencias históricas. En el tablero SYSO, la proyección de ingresos a 6 meses mediante regresión lineal OLS es el componente de analítica predictiva. La elección de regresión lineal simple responde a la disponibilidad de datos históricos continuos y a la transparencia interpretativa requerida por el equipo administrativo.⁷</w:t>
      </w:r>
    </w:p>
    <w:p>
      <w:pPr>
        <w:ind w:left="720"/>
      </w:pPr>
      <w:r>
        <w:rPr>
          <w:i/>
          <w:sz w:val="20"/>
        </w:rPr>
        <w:t xml:space="preserve">⁷ </w:t>
      </w:r>
      <w:r>
        <w:rPr>
          <w:b/>
          <w:i/>
          <w:sz w:val="20"/>
        </w:rPr>
        <w:t>Nota al pie:</w:t>
      </w:r>
      <w:r>
        <w:rPr>
          <w:i/>
          <w:sz w:val="20"/>
        </w:rPr>
        <w:t xml:space="preserve"> La regresión lineal simple (OLS - Ordinary Least Squares) es el modelo predictivo más documentado en estadística aplicada. La fórmula implementada es: `ŷ = b₀ + b₁·x`, donde b₁ = (n·Σxy − Σx·Σy) / (n·Σx² − (Σx)²) y b₀ = (Σy − b₁·Σx) / n. La implementación en Python puro (sin librerías externas) garantiza transparencia y portabilidad.</w:t>
      </w:r>
    </w:p>
    <w:p>
      <w:pPr>
        <w:pStyle w:val="Heading4"/>
      </w:pPr>
      <w:r>
        <w:t>2.3.3 Analítica Prescriptiva</w:t>
      </w:r>
    </w:p>
    <w:p>
      <w:r>
        <w:t xml:space="preserve">Responde a la pregunta: </w:t>
      </w:r>
      <w:r>
        <w:rPr>
          <w:i/>
        </w:rPr>
        <w:t>¿qué se debería hacer?</w:t>
      </w:r>
      <w:r>
        <w:t xml:space="preserve"> Genera recomendaciones de acción a partir del análisis descriptivo y predictivo. En el tablero SYSO, la analítica prescriptiva se manifiesta de forma incipiente en los indicadores de alerta: el semáforo de días de facturación (verde/ámbar/rojo) y el mensaje central del Resumen Ejecutivo orientan al gestor sobre qué decisiones tomar. El desarrollo pleno de este nivel de analítica queda propuesto como trabajo futuro del proyecto.</w:t>
      </w:r>
    </w:p>
    <w:p>
      <w:pPr>
        <w:pStyle w:val="Heading3"/>
      </w:pPr>
      <w:r>
        <w:t>2.4 Algoritmos Utilizados</w:t>
      </w:r>
    </w:p>
    <w:p>
      <w:pPr>
        <w:pStyle w:val="Heading4"/>
      </w:pPr>
      <w:r>
        <w:t>2.4.1 Regresión Lineal Simple (OLS)</w:t>
      </w:r>
    </w:p>
    <w:p>
      <w:r>
        <w:t>La regresión lineal por mínimos cuadrados ordinarios (OLS) es el método estadístico más utilizado para modelar la relación entre una variable independiente (tiempo) y una variable dependiente continua (ingresos mensuales). Su aplicación en el proyecto permite proyectar los ingresos por ARL para los próximos 6 meses basándose en la tendencia de los últimos 12 meses históricos completos.⁸</w:t>
      </w:r>
    </w:p>
    <w:p>
      <w:r/>
      <w:r>
        <w:rPr>
          <w:b/>
        </w:rPr>
        <w:t>Fórmula implementada:</w:t>
      </w:r>
      <w:r/>
    </w:p>
    <w:p>
      <w:pPr>
        <w:spacing w:line="240" w:lineRule="auto"/>
        <w:ind w:left="567"/>
      </w:pPr>
      <w:r>
        <w:rPr>
          <w:rFonts w:ascii="Courier New" w:hAnsi="Courier New"/>
          <w:sz w:val="18"/>
        </w:rPr>
        <w:t>pendiente (b₁) = (n·Σxy − Σx·Σy) / (n·Σx² − (Σx)²)</w:t>
        <w:br/>
        <w:t>intercepto (b₀) = (Σy − b₁·Σx) / n</w:t>
        <w:br/>
        <w:t>proyección[i] = max(0, b₀ + b₁ · i)</w:t>
      </w:r>
    </w:p>
    <w:p>
      <w:r>
        <w:t>La proyección se limita a valores no negativos (`max(0, ...)`) dado que los ingresos no pueden ser negativos en el contexto del negocio.</w:t>
      </w:r>
    </w:p>
    <w:p>
      <w:pPr>
        <w:ind w:left="720"/>
      </w:pPr>
      <w:r>
        <w:rPr>
          <w:i/>
          <w:sz w:val="20"/>
        </w:rPr>
        <w:t xml:space="preserve">⁸ </w:t>
      </w:r>
      <w:r>
        <w:rPr>
          <w:b/>
          <w:i/>
          <w:sz w:val="20"/>
        </w:rPr>
        <w:t>Nota al pie:</w:t>
      </w:r>
      <w:r>
        <w:rPr>
          <w:i/>
          <w:sz w:val="20"/>
        </w:rPr>
        <w:t xml:space="preserve"> Montgomery, D. C., Peck, E. A., &amp; Vining, G. G. (2012). </w:t>
      </w:r>
      <w:r>
        <w:rPr>
          <w:i/>
          <w:sz w:val="20"/>
        </w:rPr>
        <w:t>Introduction to linear regression analysis</w:t>
      </w:r>
      <w:r>
        <w:rPr>
          <w:i/>
          <w:sz w:val="20"/>
        </w:rPr>
        <w:t xml:space="preserve"> (5.ª ed.). Wiley. Es la referencia estándar en análisis de regresión aplicado. La implementación del proyecto no utiliza librerías externas (NumPy, SciPy) para garantizar portabilidad y minimizar dependencias en el entorno de despliegue (Render.com).</w:t>
      </w:r>
    </w:p>
    <w:p>
      <w:pPr>
        <w:pStyle w:val="Heading4"/>
      </w:pPr>
      <w:r>
        <w:t>2.4.2 Agregaciones Estadísticas y KPIs</w:t>
      </w:r>
    </w:p>
    <w:p>
      <w:r>
        <w:t>Las métricas de resumen (suma, promedio, conteo, porcentaje) son los operadores analíticos fundamentales del tablero. La tasa de cumplimiento, el valor de cartera, el tiempo promedio de facturación y los agrupamientos por ARL se calculan mediante operaciones de agregación sobre el conjunto de órdenes filtradas, sin requerir librerías estadísticas externas.</w:t>
      </w:r>
    </w:p>
    <w:p>
      <w:pPr>
        <w:pStyle w:val="Heading3"/>
      </w:pPr>
      <w:r>
        <w:t>2.5 KPIs y Métricas del Proyecto</w:t>
      </w:r>
    </w:p>
    <w:p>
      <w:r>
        <w:t>Los seis indicadores clave definidos para el tablero se describen a continuación con su fórmula y umbral de referencia:</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b/>
                <w:sz w:val="20"/>
              </w:rPr>
              <w:t>KPI</w:t>
            </w:r>
          </w:p>
        </w:tc>
        <w:tc>
          <w:tcPr>
            <w:tcW w:type="dxa" w:w="3120"/>
          </w:tcPr>
          <w:p>
            <w:pPr>
              <w:spacing w:line="276" w:lineRule="auto"/>
            </w:pPr>
            <w:r/>
            <w:r>
              <w:rPr>
                <w:rFonts w:ascii="Times New Roman" w:hAnsi="Times New Roman"/>
                <w:b/>
                <w:sz w:val="20"/>
              </w:rPr>
              <w:t>Fórmula</w:t>
            </w:r>
          </w:p>
        </w:tc>
        <w:tc>
          <w:tcPr>
            <w:tcW w:type="dxa" w:w="3120"/>
          </w:tcPr>
          <w:p>
            <w:pPr>
              <w:spacing w:line="276" w:lineRule="auto"/>
            </w:pPr>
            <w:r/>
            <w:r>
              <w:rPr>
                <w:rFonts w:ascii="Times New Roman" w:hAnsi="Times New Roman"/>
                <w:b/>
                <w:sz w:val="20"/>
              </w:rPr>
              <w:t>Umbral de alerta</w:t>
            </w:r>
          </w:p>
        </w:tc>
      </w:tr>
      <w:tr>
        <w:tc>
          <w:tcPr>
            <w:tcW w:type="dxa" w:w="3120"/>
          </w:tcPr>
          <w:p>
            <w:pPr>
              <w:spacing w:line="276" w:lineRule="auto"/>
            </w:pPr>
            <w:r/>
            <w:r>
              <w:rPr>
                <w:rFonts w:ascii="Times New Roman" w:hAnsi="Times New Roman"/>
                <w:sz w:val="20"/>
              </w:rPr>
              <w:t>Total Órdenes</w:t>
            </w:r>
          </w:p>
        </w:tc>
        <w:tc>
          <w:tcPr>
            <w:tcW w:type="dxa" w:w="3120"/>
          </w:tcPr>
          <w:p>
            <w:pPr>
              <w:spacing w:line="276" w:lineRule="auto"/>
            </w:pPr>
            <w:r/>
            <w:r>
              <w:rPr>
                <w:rFonts w:ascii="Times New Roman" w:hAnsi="Times New Roman"/>
                <w:sz w:val="20"/>
              </w:rPr>
              <w:t>COUNT(órdenes filtradas)</w:t>
            </w:r>
          </w:p>
        </w:tc>
        <w:tc>
          <w:tcPr>
            <w:tcW w:type="dxa" w:w="3120"/>
          </w:tcPr>
          <w:p>
            <w:pPr>
              <w:spacing w:line="276" w:lineRule="auto"/>
            </w:pPr>
            <w:r/>
            <w:r>
              <w:rPr>
                <w:rFonts w:ascii="Times New Roman" w:hAnsi="Times New Roman"/>
                <w:sz w:val="20"/>
              </w:rPr>
              <w:t>—</w:t>
            </w:r>
          </w:p>
        </w:tc>
      </w:tr>
      <w:tr>
        <w:tc>
          <w:tcPr>
            <w:tcW w:type="dxa" w:w="3120"/>
          </w:tcPr>
          <w:p>
            <w:pPr>
              <w:spacing w:line="276" w:lineRule="auto"/>
            </w:pPr>
            <w:r/>
            <w:r>
              <w:rPr>
                <w:rFonts w:ascii="Times New Roman" w:hAnsi="Times New Roman"/>
                <w:sz w:val="20"/>
              </w:rPr>
              <w:t>Ingresos Totales</w:t>
            </w:r>
          </w:p>
        </w:tc>
        <w:tc>
          <w:tcPr>
            <w:tcW w:type="dxa" w:w="3120"/>
          </w:tcPr>
          <w:p>
            <w:pPr>
              <w:spacing w:line="276" w:lineRule="auto"/>
            </w:pPr>
            <w:r/>
            <w:r>
              <w:rPr>
                <w:rFonts w:ascii="Times New Roman" w:hAnsi="Times New Roman"/>
                <w:sz w:val="20"/>
              </w:rPr>
              <w:t>SUM(valor_facturado)</w:t>
            </w:r>
          </w:p>
        </w:tc>
        <w:tc>
          <w:tcPr>
            <w:tcW w:type="dxa" w:w="3120"/>
          </w:tcPr>
          <w:p>
            <w:pPr>
              <w:spacing w:line="276" w:lineRule="auto"/>
            </w:pPr>
            <w:r/>
            <w:r>
              <w:rPr>
                <w:rFonts w:ascii="Times New Roman" w:hAnsi="Times New Roman"/>
                <w:sz w:val="20"/>
              </w:rPr>
              <w:t>—</w:t>
            </w:r>
          </w:p>
        </w:tc>
      </w:tr>
      <w:tr>
        <w:tc>
          <w:tcPr>
            <w:tcW w:type="dxa" w:w="3120"/>
          </w:tcPr>
          <w:p>
            <w:pPr>
              <w:spacing w:line="276" w:lineRule="auto"/>
            </w:pPr>
            <w:r/>
            <w:r>
              <w:rPr>
                <w:rFonts w:ascii="Times New Roman" w:hAnsi="Times New Roman"/>
                <w:sz w:val="20"/>
              </w:rPr>
              <w:t>Tasa de Cumplimiento</w:t>
            </w:r>
          </w:p>
        </w:tc>
        <w:tc>
          <w:tcPr>
            <w:tcW w:type="dxa" w:w="3120"/>
          </w:tcPr>
          <w:p>
            <w:pPr>
              <w:spacing w:line="276" w:lineRule="auto"/>
            </w:pPr>
            <w:r/>
            <w:r>
              <w:rPr>
                <w:rFonts w:ascii="Times New Roman" w:hAnsi="Times New Roman"/>
                <w:sz w:val="20"/>
              </w:rPr>
              <w:t>(Ejecutadas + Soportes + Facturadas) / Total × 100</w:t>
            </w:r>
          </w:p>
        </w:tc>
        <w:tc>
          <w:tcPr>
            <w:tcW w:type="dxa" w:w="3120"/>
          </w:tcPr>
          <w:p>
            <w:pPr>
              <w:spacing w:line="276" w:lineRule="auto"/>
            </w:pPr>
            <w:r/>
            <w:r>
              <w:rPr>
                <w:rFonts w:ascii="Times New Roman" w:hAnsi="Times New Roman"/>
                <w:sz w:val="20"/>
              </w:rPr>
              <w:t>&lt; 50% = crítico</w:t>
            </w:r>
          </w:p>
        </w:tc>
      </w:tr>
      <w:tr>
        <w:tc>
          <w:tcPr>
            <w:tcW w:type="dxa" w:w="3120"/>
          </w:tcPr>
          <w:p>
            <w:pPr>
              <w:spacing w:line="276" w:lineRule="auto"/>
            </w:pPr>
            <w:r/>
            <w:r>
              <w:rPr>
                <w:rFonts w:ascii="Times New Roman" w:hAnsi="Times New Roman"/>
                <w:sz w:val="20"/>
              </w:rPr>
              <w:t>Órdenes en Gestión</w:t>
            </w:r>
          </w:p>
        </w:tc>
        <w:tc>
          <w:tcPr>
            <w:tcW w:type="dxa" w:w="3120"/>
          </w:tcPr>
          <w:p>
            <w:pPr>
              <w:spacing w:line="276" w:lineRule="auto"/>
            </w:pPr>
            <w:r/>
            <w:r>
              <w:rPr>
                <w:rFonts w:ascii="Times New Roman" w:hAnsi="Times New Roman"/>
                <w:sz w:val="20"/>
              </w:rPr>
              <w:t>COUNT(Recibida + Aceptada + Programada + En Ejecución)</w:t>
            </w:r>
          </w:p>
        </w:tc>
        <w:tc>
          <w:tcPr>
            <w:tcW w:type="dxa" w:w="3120"/>
          </w:tcPr>
          <w:p>
            <w:pPr>
              <w:spacing w:line="276" w:lineRule="auto"/>
            </w:pPr>
            <w:r/>
            <w:r>
              <w:rPr>
                <w:rFonts w:ascii="Times New Roman" w:hAnsi="Times New Roman"/>
                <w:sz w:val="20"/>
              </w:rPr>
              <w:t>—</w:t>
            </w:r>
          </w:p>
        </w:tc>
      </w:tr>
      <w:tr>
        <w:tc>
          <w:tcPr>
            <w:tcW w:type="dxa" w:w="3120"/>
          </w:tcPr>
          <w:p>
            <w:pPr>
              <w:spacing w:line="276" w:lineRule="auto"/>
            </w:pPr>
            <w:r/>
            <w:r>
              <w:rPr>
                <w:rFonts w:ascii="Times New Roman" w:hAnsi="Times New Roman"/>
                <w:sz w:val="20"/>
              </w:rPr>
              <w:t>Cartera Sin Facturar</w:t>
            </w:r>
          </w:p>
        </w:tc>
        <w:tc>
          <w:tcPr>
            <w:tcW w:type="dxa" w:w="3120"/>
          </w:tcPr>
          <w:p>
            <w:pPr>
              <w:spacing w:line="276" w:lineRule="auto"/>
            </w:pPr>
            <w:r/>
            <w:r>
              <w:rPr>
                <w:rFonts w:ascii="Times New Roman" w:hAnsi="Times New Roman"/>
                <w:sz w:val="20"/>
              </w:rPr>
              <w:t>SUM(valor_facturado) donde estado ∈ {Ejecutada, Soportes Radicados}</w:t>
            </w:r>
          </w:p>
        </w:tc>
        <w:tc>
          <w:tcPr>
            <w:tcW w:type="dxa" w:w="3120"/>
          </w:tcPr>
          <w:p>
            <w:pPr>
              <w:spacing w:line="276" w:lineRule="auto"/>
            </w:pPr>
            <w:r/>
            <w:r>
              <w:rPr>
                <w:rFonts w:ascii="Times New Roman" w:hAnsi="Times New Roman"/>
                <w:sz w:val="20"/>
              </w:rPr>
              <w:t>&gt; $0 = atención</w:t>
            </w:r>
          </w:p>
        </w:tc>
      </w:tr>
      <w:tr>
        <w:tc>
          <w:tcPr>
            <w:tcW w:type="dxa" w:w="3120"/>
          </w:tcPr>
          <w:p>
            <w:pPr>
              <w:spacing w:line="276" w:lineRule="auto"/>
            </w:pPr>
            <w:r/>
            <w:r>
              <w:rPr>
                <w:rFonts w:ascii="Times New Roman" w:hAnsi="Times New Roman"/>
                <w:sz w:val="20"/>
              </w:rPr>
              <w:t>Días Prom. Facturación</w:t>
            </w:r>
          </w:p>
        </w:tc>
        <w:tc>
          <w:tcPr>
            <w:tcW w:type="dxa" w:w="3120"/>
          </w:tcPr>
          <w:p>
            <w:pPr>
              <w:spacing w:line="276" w:lineRule="auto"/>
            </w:pPr>
            <w:r/>
            <w:r>
              <w:rPr>
                <w:rFonts w:ascii="Times New Roman" w:hAnsi="Times New Roman"/>
                <w:sz w:val="20"/>
              </w:rPr>
              <w:t>PROMEDIO(fecha_facturación − fecha_ejecución)</w:t>
            </w:r>
          </w:p>
        </w:tc>
        <w:tc>
          <w:tcPr>
            <w:tcW w:type="dxa" w:w="3120"/>
          </w:tcPr>
          <w:p>
            <w:pPr>
              <w:spacing w:line="276" w:lineRule="auto"/>
            </w:pPr>
            <w:r/>
            <w:r>
              <w:rPr>
                <w:rFonts w:ascii="Times New Roman" w:hAnsi="Times New Roman"/>
                <w:sz w:val="20"/>
              </w:rPr>
              <w:t>&gt; 30 días = riesgo de glosa</w:t>
            </w:r>
          </w:p>
        </w:tc>
      </w:tr>
    </w:tbl>
    <w:p/>
    <w:p>
      <w:r>
        <w:t>El umbral de 30 días para la facturación se deriva de los plazos contractuales típicos establecidos por las ARL en Colombia y de las disposiciones de la Resolución 3100 de 2019 sobre tiempos de respuesta administrativos.⁹</w:t>
      </w:r>
    </w:p>
    <w:p>
      <w:pPr>
        <w:ind w:left="720"/>
      </w:pPr>
      <w:r>
        <w:rPr>
          <w:i/>
          <w:sz w:val="20"/>
        </w:rPr>
        <w:t xml:space="preserve">⁹ </w:t>
      </w:r>
      <w:r>
        <w:rPr>
          <w:b/>
          <w:i/>
          <w:sz w:val="20"/>
        </w:rPr>
        <w:t>Nota al pie:</w:t>
      </w:r>
      <w:r>
        <w:rPr>
          <w:i/>
          <w:sz w:val="20"/>
        </w:rPr>
        <w:t xml:space="preserve"> Ministerio de Salud y Protección Social. (2019). </w:t>
      </w:r>
      <w:r>
        <w:rPr>
          <w:i/>
          <w:sz w:val="20"/>
        </w:rPr>
        <w:t>Resolución 3100 del 25 de noviembre de 2019, por la cual se definen los procedimientos y condiciones de inscripción de los prestadores de servicios de salud</w:t>
      </w:r>
      <w:r>
        <w:rPr>
          <w:i/>
          <w:sz w:val="20"/>
        </w:rPr>
        <w:t>. https://www.minsalud.gov.co/Normatividad_Nuevo/Resolución-3100-de-2019.pdf</w:t>
      </w:r>
    </w:p>
    <w:p>
      <w:pPr>
        <w:pStyle w:val="Heading3"/>
      </w:pPr>
      <w:r>
        <w:t>2.6 Gobierno de Datos y Ética Analítica</w:t>
      </w:r>
    </w:p>
    <w:p>
      <w:pPr>
        <w:pStyle w:val="Heading4"/>
      </w:pPr>
      <w:r>
        <w:t>2.6.1 Ley 1581 de 2012 — Protección de Datos Personales</w:t>
      </w:r>
    </w:p>
    <w:p>
      <w:r>
        <w:t>La Ley Estatutaria 1581 de 2012 regula el tratamiento de datos personales en Colombia, estableciendo principios de legalidad, finalidad, libertad, veracidad, transparencia, acceso restringido, seguridad y confidencialidad.¹⁰ En el contexto del proyecto, los datos de órdenes de servicio contienen información sensible de empresas afiliadas y trabajadores atendidos, por lo que su tratamiento debe cumplir con los principios de esta ley.</w:t>
      </w:r>
    </w:p>
    <w:p>
      <w:r/>
      <w:r>
        <w:rPr>
          <w:b/>
        </w:rPr>
        <w:t>Medidas implementadas en el proyecto:</w:t>
      </w:r>
      <w:r/>
    </w:p>
    <w:p>
      <w:pPr>
        <w:pStyle w:val="ListBullet"/>
      </w:pPr>
      <w:r>
        <w:t>Autenticación con credenciales para acceso al tablero</w:t>
      </w:r>
    </w:p>
    <w:p>
      <w:pPr>
        <w:pStyle w:val="ListBullet"/>
      </w:pPr>
      <w:r>
        <w:t>No almacenamiento permanente de datos personales en el servidor de producción</w:t>
      </w:r>
    </w:p>
    <w:p>
      <w:pPr>
        <w:pStyle w:val="ListBullet"/>
      </w:pPr>
      <w:r>
        <w:t>Uso de datos de ejemplo (fake data) en el entorno de demostración pública</w:t>
      </w:r>
    </w:p>
    <w:p>
      <w:pPr>
        <w:ind w:left="720"/>
      </w:pPr>
      <w:r>
        <w:rPr>
          <w:i/>
          <w:sz w:val="20"/>
        </w:rPr>
        <w:t xml:space="preserve">¹⁰ </w:t>
      </w:r>
      <w:r>
        <w:rPr>
          <w:b/>
          <w:i/>
          <w:sz w:val="20"/>
        </w:rPr>
        <w:t>Nota al pie:</w:t>
      </w:r>
      <w:r>
        <w:rPr>
          <w:i/>
          <w:sz w:val="20"/>
        </w:rPr>
        <w:t xml:space="preserve"> Congreso de la República de Colombia. (2012). </w:t>
      </w:r>
      <w:r>
        <w:rPr>
          <w:i/>
          <w:sz w:val="20"/>
        </w:rPr>
        <w:t>Ley 1581 de 2012, por la cual se dictan disposiciones generales para la protección de datos personales</w:t>
      </w:r>
      <w:r>
        <w:rPr>
          <w:i/>
          <w:sz w:val="20"/>
        </w:rPr>
        <w:t>. Diario Oficial 48587. https://www.funcionpublica.gov.co/eva/gestornormativo/norma.php?i=49981</w:t>
      </w:r>
    </w:p>
    <w:p>
      <w:pPr>
        <w:pStyle w:val="Heading4"/>
      </w:pPr>
      <w:r>
        <w:t>2.6.2 Resolución 3100 de 2019</w:t>
      </w:r>
    </w:p>
    <w:p>
      <w:r>
        <w:t>Norma que regula la habilitación de Instituciones Prestadoras de Servicios de Salud (IPS) en Colombia, definiendo los estándares mínimos para la operación administrativa y financiera, incluida la gestión de órdenes de servicio y el registro de prestaciones. Su cumplimiento es requisito para la operación legal de SYSO Empresarial.</w:t>
      </w:r>
    </w:p>
    <w:p>
      <w:pPr>
        <w:pStyle w:val="Heading4"/>
      </w:pPr>
      <w:r>
        <w:t>2.6.3 ISO/IEC 27001 — Seguridad de la Información</w:t>
      </w:r>
    </w:p>
    <w:p>
      <w:r>
        <w:t>La norma ISO/IEC 27001 establece los requisitos para un Sistema de Gestión de Seguridad de la Información (SGSI), incluyendo controles sobre confidencialidad, integridad y disponibilidad de los datos (ISO, 2022).¹¹ Si bien su implementación completa está fuera del alcance de este proyecto académico, sus principios orientan las decisiones de diseño: uso de SECRET_KEY aleatoria en producción, protección de rutas mediante sesiones, y separación entre entornos de desarrollo y producción.</w:t>
      </w:r>
    </w:p>
    <w:p>
      <w:pPr>
        <w:ind w:left="720"/>
      </w:pPr>
      <w:r>
        <w:rPr>
          <w:i/>
          <w:sz w:val="20"/>
        </w:rPr>
        <w:t xml:space="preserve">¹¹ </w:t>
      </w:r>
      <w:r>
        <w:rPr>
          <w:b/>
          <w:i/>
          <w:sz w:val="20"/>
        </w:rPr>
        <w:t>Nota al pie:</w:t>
      </w:r>
      <w:r>
        <w:rPr>
          <w:i/>
          <w:sz w:val="20"/>
        </w:rPr>
        <w:t xml:space="preserve"> International Organization for Standardization. (2022). </w:t>
      </w:r>
      <w:r>
        <w:rPr>
          <w:i/>
          <w:sz w:val="20"/>
        </w:rPr>
        <w:t>ISO/IEC 27001:2022 — Information security, cybersecurity and privacy protection</w:t>
      </w:r>
      <w:r>
        <w:rPr>
          <w:i/>
          <w:sz w:val="20"/>
        </w:rPr>
        <w:t>. https://www.iso.org/standard/27001</w:t>
      </w:r>
    </w:p>
    <w:p>
      <w:pPr>
        <w:pStyle w:val="Heading4"/>
      </w:pPr>
      <w:r>
        <w:t>2.6.4 Principios de Ética Analítica</w:t>
      </w:r>
    </w:p>
    <w:p>
      <w:r>
        <w:t>Más allá del cumplimiento normativo, el proyecto adopta los siguientes principios éticos en el tratamiento de los datos:¹²</w:t>
      </w:r>
    </w:p>
    <w:p>
      <w:pPr>
        <w:pStyle w:val="ListBullet"/>
      </w:pPr>
      <w:r/>
      <w:r>
        <w:rPr>
          <w:b/>
        </w:rPr>
        <w:t>Anonimización:</w:t>
      </w:r>
      <w:r>
        <w:t xml:space="preserve"> Los datos de empresas y trabajadores en el entorno de demostración son sintéticos; no se publican datos reales de pacientes o empleados.</w:t>
      </w:r>
    </w:p>
    <w:p>
      <w:pPr>
        <w:pStyle w:val="ListBullet"/>
      </w:pPr>
      <w:r/>
      <w:r>
        <w:rPr>
          <w:b/>
        </w:rPr>
        <w:t>Proporcionalidad:</w:t>
      </w:r>
      <w:r>
        <w:t xml:space="preserve"> Solo se recopilan los campos estrictamente necesarios para los KPIs definidos.</w:t>
      </w:r>
    </w:p>
    <w:p>
      <w:pPr>
        <w:pStyle w:val="ListBullet"/>
      </w:pPr>
      <w:r/>
      <w:r>
        <w:rPr>
          <w:b/>
        </w:rPr>
        <w:t>Transparencia:</w:t>
      </w:r>
      <w:r>
        <w:t xml:space="preserve"> Los algoritmos utilizados (regresión lineal, agregaciones) son interpretables y auditables por el equipo administrativo de la IPS.</w:t>
      </w:r>
    </w:p>
    <w:p>
      <w:pPr>
        <w:pStyle w:val="ListBullet"/>
      </w:pPr>
      <w:r/>
      <w:r>
        <w:rPr>
          <w:b/>
        </w:rPr>
        <w:t>No discriminación algorítmica:</w:t>
      </w:r>
      <w:r>
        <w:t xml:space="preserve"> Los indicadores se calculan de forma homogénea para todas las ARLs, sin sesgos por el tamaño o tipo de administradora.</w:t>
      </w:r>
    </w:p>
    <w:p>
      <w:pPr>
        <w:pStyle w:val="ListBullet"/>
      </w:pPr>
      <w:r/>
      <w:r>
        <w:rPr>
          <w:b/>
        </w:rPr>
        <w:t>Trazabilidad:</w:t>
      </w:r>
      <w:r>
        <w:t xml:space="preserve"> Cada orden tiene un ID único, fechas de registro, ejecución y facturación, y un responsable asignado, lo que garantiza la auditoría del proceso.</w:t>
      </w:r>
    </w:p>
    <w:p>
      <w:pPr>
        <w:ind w:left="720"/>
      </w:pPr>
      <w:r>
        <w:rPr>
          <w:i/>
          <w:sz w:val="20"/>
        </w:rPr>
        <w:t xml:space="preserve">¹² </w:t>
      </w:r>
      <w:r>
        <w:rPr>
          <w:b/>
          <w:i/>
          <w:sz w:val="20"/>
        </w:rPr>
        <w:t>Nota al pie:</w:t>
      </w:r>
      <w:r>
        <w:rPr>
          <w:i/>
          <w:sz w:val="20"/>
        </w:rPr>
        <w:t xml:space="preserve"> Floridi, L., Cowls, J., Beltrametti, M., Chatila, R., Chazerand, P., Dignum, V., Luetge, C., Madelin, R., Pagallo, U., Rossi, F., Schafer, B., Valcke, P., &amp; Vayena, E. (2018). An ethical framework for a good AI society: Opportunities, risks, principles, and recommendations. </w:t>
      </w:r>
      <w:r>
        <w:rPr>
          <w:i/>
          <w:sz w:val="20"/>
        </w:rPr>
        <w:t>Minds and Machines</w:t>
      </w:r>
      <w:r>
        <w:rPr>
          <w:i/>
          <w:sz w:val="20"/>
        </w:rPr>
        <w:t>, 28(4), 689–707. https://doi.org/10.1007/s11023-018-9482-5</w:t>
      </w:r>
    </w:p>
    <w:p>
      <w:pPr>
        <w:pStyle w:val="Heading3"/>
      </w:pPr>
      <w:r>
        <w:t>2.7 Síntesis Integradora</w:t>
      </w:r>
    </w:p>
    <w:p>
      <w:r>
        <w:t>El marco conceptual presentado en este capítulo articula los fundamentos teóricos, metodológicos y normativos sobre los cuales se diseñó la solución de inteligencia de negocios para la IPS SYSO Empresarial.</w:t>
      </w:r>
    </w:p>
    <w:p>
      <w:r>
        <w:t>La metodología CRISP-DM estructura el ciclo de vida completo del proyecto: desde el diagnóstico de la problemática en el Capítulo 1 hasta el despliegue del tablero en producción. Los conceptos de BI, ETL y KPI, respaldados por las referencias académicas de Chaudhuri et al. (2011), Abelló et al. (2022) y Parmenter (2015), fundamentan cada componente técnico implementado. La analítica descriptiva —materializada en los 6 KPIs y los 4 gráficos del tablero— y la analítica predictiva —representada por el modelo de regresión lineal OLS para proyección de ingresos— conforman el núcleo analítico de la solución.</w:t>
      </w:r>
    </w:p>
    <w:p>
      <w:r>
        <w:t>Los antecedentes revisados confirman que la problemática identificada en SYSO Empresarial —datos dispersos en hojas de cálculo, ausencia de trazabilidad y retrasos en facturación— es un patrón documentado en instituciones de salud colombianas (Bastidas-Orrego et al., 2021; Zárate-Castaño et al., 2024) y que las soluciones BI con tableros de KPIs son la respuesta más adoptada y validada en el sector (Llano-Ruiz et al., 2024; Buendía-García et al., 2024).</w:t>
      </w:r>
    </w:p>
    <w:p>
      <w:r>
        <w:t>El marco normativo —Ley 1581 de 2012, Resolución 3100 de 2019 e ISO/IEC 27001— delimita el espacio de diseño en materia de protección de datos, habilitación de IPS y seguridad de la información, garantizando que la solución propuesta sea legalmente pertinente y técnicamente responsable.</w:t>
      </w:r>
    </w:p>
    <w:p>
      <w:r>
        <w:t>En conjunto, este capítulo demuestra que el diseño del tablero BI para SYSO Empresarial no es una solución aislada, sino una respuesta informada por el estado del arte, fundamentada en conceptos sólidos y alineada con las mejores prácticas del sector salud en Colombia y en el ámbito internacional.</w:t>
      </w:r>
    </w:p>
    <w:p>
      <w:pPr>
        <w:pStyle w:val="Heading2"/>
      </w:pPr>
      <w:r>
        <w:t>Referencias</w:t>
      </w:r>
    </w:p>
    <w:p>
      <w:r>
        <w:t xml:space="preserve">Abelló, A., Darmont, J., Etcheverry, L., Golfarelli, M., Mazón, J. N., Naumann, F., Pedersen, T. B., Rizzi, S., Trujillo, J., Vassiliadis, P., &amp; Vossen, G. (2022). Data warehousing process modeling from classical approaches to new trends. </w:t>
      </w:r>
      <w:r>
        <w:rPr>
          <w:i/>
        </w:rPr>
        <w:t>Data</w:t>
      </w:r>
      <w:r>
        <w:t xml:space="preserve">, </w:t>
      </w:r>
      <w:r>
        <w:rPr>
          <w:i/>
        </w:rPr>
        <w:t>7</w:t>
      </w:r>
      <w:r>
        <w:t>(8), 113. https://doi.org/10.3390/data7080113</w:t>
      </w:r>
    </w:p>
    <w:p>
      <w:r>
        <w:t xml:space="preserve">Bastidas-Orrego, L. M., Jaramillo-Arango, N., &amp; Flórez-Marulanda, J. F. (2021). Business Intelligence for the Programs of the Secretaries of Health, Education and Planning in a Territorial Entity. </w:t>
      </w:r>
      <w:r>
        <w:rPr>
          <w:i/>
        </w:rPr>
        <w:t>Tecnológicas</w:t>
      </w:r>
      <w:r>
        <w:t xml:space="preserve">, </w:t>
      </w:r>
      <w:r>
        <w:rPr>
          <w:i/>
        </w:rPr>
        <w:t>24</w:t>
      </w:r>
      <w:r>
        <w:t>(52), e1779. https://doi.org/10.22430/22565337.1779</w:t>
      </w:r>
    </w:p>
    <w:p>
      <w:r>
        <w:t xml:space="preserve">Buendía-García, F., Novak, M., Sotolongo-Aguilar, G., &amp; Peñabaena-Niebles, R. (2024). Design of logistics indicators for monitoring the COVID-19 vaccination process in Colombia. </w:t>
      </w:r>
      <w:r>
        <w:rPr>
          <w:i/>
        </w:rPr>
        <w:t>BMC Health Services Research</w:t>
      </w:r>
      <w:r>
        <w:t xml:space="preserve">, </w:t>
      </w:r>
      <w:r>
        <w:rPr>
          <w:i/>
        </w:rPr>
        <w:t>24</w:t>
      </w:r>
      <w:r>
        <w:t>(1), 1367. https://doi.org/10.1186/s12913-024-11843-x</w:t>
      </w:r>
    </w:p>
    <w:p>
      <w:r>
        <w:t xml:space="preserve">Chapman, P., Clinton, J., Kerber, R., Khabaza, T., Reinartz, T., Shearer, C., &amp; Wirth, R. (2000). </w:t>
      </w:r>
      <w:r>
        <w:rPr>
          <w:i/>
        </w:rPr>
        <w:t>CRISP-DM 1.0: Step-by-step data mining guide</w:t>
      </w:r>
      <w:r>
        <w:t>. SPSS Inc. https://www.the-modeling-agency.com/crisp-dm.pdf</w:t>
      </w:r>
    </w:p>
    <w:p>
      <w:r>
        <w:t xml:space="preserve">Chaudhuri, S., Dayal, U., &amp; Narasayya, V. (2011). An overview of business intelligence technology. </w:t>
      </w:r>
      <w:r>
        <w:rPr>
          <w:i/>
        </w:rPr>
        <w:t>Communications of the ACM</w:t>
      </w:r>
      <w:r>
        <w:t xml:space="preserve">, </w:t>
      </w:r>
      <w:r>
        <w:rPr>
          <w:i/>
        </w:rPr>
        <w:t>54</w:t>
      </w:r>
      <w:r>
        <w:t>(8), 88–98. https://doi.org/10.1145/1978542.1978562</w:t>
      </w:r>
    </w:p>
    <w:p>
      <w:r>
        <w:t xml:space="preserve">Congreso de la República de Colombia. (2012). </w:t>
      </w:r>
      <w:r>
        <w:rPr>
          <w:i/>
        </w:rPr>
        <w:t>Ley 1581 de 2012, por la cual se dictan disposiciones generales para la protección de datos personales</w:t>
      </w:r>
      <w:r>
        <w:t>. Diario Oficial 48587. https://www.funcionpublica.gov.co/eva/gestornormativo/norma.php?i=49981</w:t>
      </w:r>
    </w:p>
    <w:p>
      <w:r>
        <w:t xml:space="preserve">Davenport, T. H., &amp; Harris, J. G. (2007). </w:t>
      </w:r>
      <w:r>
        <w:rPr>
          <w:i/>
        </w:rPr>
        <w:t>Competing on analytics: The new science of winning</w:t>
      </w:r>
      <w:r>
        <w:t>. Harvard Business School Press.</w:t>
      </w:r>
    </w:p>
    <w:p>
      <w:r>
        <w:t xml:space="preserve">Few, S. (2012). </w:t>
      </w:r>
      <w:r>
        <w:rPr>
          <w:i/>
        </w:rPr>
        <w:t>Show me the numbers: Designing tables and graphs to enlighten</w:t>
      </w:r>
      <w:r>
        <w:t xml:space="preserve"> (2.ª ed.). Analytics Press.</w:t>
      </w:r>
    </w:p>
    <w:p>
      <w:r>
        <w:t xml:space="preserve">Floridi, L., Cowls, J., Beltrametti, M., Chatila, R., Chazerand, P., Dignum, V., Luetge, C., Madelin, R., Pagallo, U., Rossi, F., Schafer, B., Valcke, P., &amp; Vayena, E. (2018). An ethical framework for a good AI society. </w:t>
      </w:r>
      <w:r>
        <w:rPr>
          <w:i/>
        </w:rPr>
        <w:t>Minds and Machines</w:t>
      </w:r>
      <w:r>
        <w:t xml:space="preserve">, </w:t>
      </w:r>
      <w:r>
        <w:rPr>
          <w:i/>
        </w:rPr>
        <w:t>28</w:t>
      </w:r>
      <w:r>
        <w:t>(4), 689–707. https://doi.org/10.1007/s11023-018-9482-5</w:t>
      </w:r>
    </w:p>
    <w:p>
      <w:r>
        <w:t xml:space="preserve">International Organization for Standardization. (2022). </w:t>
      </w:r>
      <w:r>
        <w:rPr>
          <w:i/>
        </w:rPr>
        <w:t>ISO/IEC 27001:2022 — Information security, cybersecurity and privacy protection</w:t>
      </w:r>
      <w:r>
        <w:t>. https://www.iso.org/standard/27001</w:t>
      </w:r>
    </w:p>
    <w:p>
      <w:r>
        <w:t xml:space="preserve">Llano-Ruiz, J. C., García-García, J. A., &amp; Escalona, M. J. (2024). Business intelligence and the leverage of information in healthcare organizations from a managerial perspective. </w:t>
      </w:r>
      <w:r>
        <w:rPr>
          <w:i/>
        </w:rPr>
        <w:t>BMC Health Services Research</w:t>
      </w:r>
      <w:r>
        <w:t xml:space="preserve">, </w:t>
      </w:r>
      <w:r>
        <w:rPr>
          <w:i/>
        </w:rPr>
        <w:t>24</w:t>
      </w:r>
      <w:r>
        <w:t>(1), 385. https://doi.org/10.1186/s12913-024-10838-w</w:t>
      </w:r>
    </w:p>
    <w:p>
      <w:r>
        <w:t xml:space="preserve">Ministerio de Salud y Protección Social. (2019). </w:t>
      </w:r>
      <w:r>
        <w:rPr>
          <w:i/>
        </w:rPr>
        <w:t>Resolución 3100 del 25 de noviembre de 2019</w:t>
      </w:r>
      <w:r>
        <w:t>. https://www.minsalud.gov.co/Normatividad_Nuevo/Resolución-3100-de-2019.pdf</w:t>
      </w:r>
    </w:p>
    <w:p>
      <w:r>
        <w:t xml:space="preserve">Montgomery, D. C., Peck, E. A., &amp; Vining, G. G. (2012). </w:t>
      </w:r>
      <w:r>
        <w:rPr>
          <w:i/>
        </w:rPr>
        <w:t>Introduction to linear regression analysis</w:t>
      </w:r>
      <w:r>
        <w:t xml:space="preserve"> (5.ª ed.). Wiley.</w:t>
      </w:r>
    </w:p>
    <w:p>
      <w:r>
        <w:t xml:space="preserve">Niño-Torres, D. M., Ariza-Colpas, P. P., Morales-García, S., Piñeres-Melo, M. A., &amp; Quintero-Linero, A. P. (2022). </w:t>
      </w:r>
      <w:r>
        <w:rPr>
          <w:i/>
        </w:rPr>
        <w:t>Caracterización de usuarios de salud mediante inteligencia de negocios en el sector asegurador colombiano</w:t>
      </w:r>
      <w:r>
        <w:t xml:space="preserve"> [Tesis de maestría, Universidad Autónoma de Bucaramanga]. Repositorio UNAB. https://apolo.unab.edu.co</w:t>
      </w:r>
    </w:p>
    <w:p>
      <w:r>
        <w:t xml:space="preserve">Parmenter, D. (2015). </w:t>
      </w:r>
      <w:r>
        <w:rPr>
          <w:i/>
        </w:rPr>
        <w:t>Key performance indicators: Developing, implementing, and using winning KPIs</w:t>
      </w:r>
      <w:r>
        <w:t xml:space="preserve"> (3.ª ed.). John Wiley &amp; Sons.</w:t>
      </w:r>
    </w:p>
    <w:p>
      <w:r>
        <w:t xml:space="preserve">Sahoo, A. K., Pradhan, C., Barik, R. K., &amp; Dubey, H. (2020). DeepReco: Deep Learning Based Health Recommender System Using Collaborative Filtering. </w:t>
      </w:r>
      <w:r>
        <w:rPr>
          <w:i/>
        </w:rPr>
        <w:t>Computation</w:t>
      </w:r>
      <w:r>
        <w:t xml:space="preserve">, </w:t>
      </w:r>
      <w:r>
        <w:rPr>
          <w:i/>
        </w:rPr>
        <w:t>7</w:t>
      </w:r>
      <w:r>
        <w:t>(2), 25. https://doi.org/10.3390/computation7020025</w:t>
      </w:r>
    </w:p>
    <w:p>
      <w:r>
        <w:t xml:space="preserve">Schröer, C., Kruse, F., &amp; Gómez, J. M. (2021). A systematic literature review on applying CRISP-DM process model. </w:t>
      </w:r>
      <w:r>
        <w:rPr>
          <w:i/>
        </w:rPr>
        <w:t>Procedia Computer Science</w:t>
      </w:r>
      <w:r>
        <w:t xml:space="preserve">, </w:t>
      </w:r>
      <w:r>
        <w:rPr>
          <w:i/>
        </w:rPr>
        <w:t>181</w:t>
      </w:r>
      <w:r>
        <w:t>, 526–534. https://doi.org/10.1016/j.procs.2021.01.199</w:t>
      </w:r>
    </w:p>
    <w:p>
      <w:r>
        <w:t xml:space="preserve">Syed, R., Suriadi, S., Adams, M., Bandara, W., Leemans, S. J. J., Ouyang, C., ter Hofstede, A. H. M., van de Weerd, I., Wynn, M. T., &amp; Reijers, H. A. (2020). Robotic Process Automation: Contemporary themes and challenges. </w:t>
      </w:r>
      <w:r>
        <w:rPr>
          <w:i/>
        </w:rPr>
        <w:t>Computers in Industry</w:t>
      </w:r>
      <w:r>
        <w:t xml:space="preserve">, </w:t>
      </w:r>
      <w:r>
        <w:rPr>
          <w:i/>
        </w:rPr>
        <w:t>115</w:t>
      </w:r>
      <w:r>
        <w:t>, 103162. https://doi.org/10.1016/j.compind.2019.103162</w:t>
      </w:r>
    </w:p>
    <w:p>
      <w:r>
        <w:t xml:space="preserve">Zárate-Castaño, J. M., Moreno-Herrera, J. C., &amp; Duque-Méndez, N. D. (2024). </w:t>
      </w:r>
      <w:r>
        <w:rPr>
          <w:i/>
        </w:rPr>
        <w:t>Construction of the collection and billing process through process mining and business intelligence: A case study of the Colombian pharmaceutical sector</w:t>
      </w:r>
      <w:r>
        <w:t>. Preprints.org. https://doi.org/10.20944/preprints202408.0818.v1</w:t>
      </w:r>
    </w:p>
    <w:p>
      <w:r/>
      <w:r>
        <w:rPr>
          <w:i/>
        </w:rPr>
        <w:t>Nota general sobre las notas al pie: Este documento está preparado para ser trasladado a Microsoft Word. Cada nota marcada con superíndice (¹, ², ³...) debe insertarse como nota al pie en Word usando la función: Referencias → Insertar nota al pie (Alt + Ctrl + F en Windows). El texto de cada nota está incluido inmediatamente después del párrafo correspondiente, marcado con el símbolo de superíndice.</w:t>
      </w:r>
      <w:r/>
    </w:p>
    <w:p>
      <w:r/>
      <w:r>
        <w:rPr>
          <w:i/>
        </w:rPr>
        <w:t>Especialización en Analítica de Datos e Información — Fundación Universitaria Tecnológico Comfenalco · Semestre I 2026</w:t>
      </w:r>
      <w:r/>
    </w:p>
    <w:p>
      <w:r>
        <w:br w:type="page"/>
      </w:r>
    </w:p>
    <w:p>
      <w:pPr>
        <w:pStyle w:val="Heading1"/>
      </w:pPr>
      <w:r>
        <w:t>Capítulo III. Diseño Metodológico</w:t>
      </w:r>
    </w:p>
    <w:p>
      <w:pPr>
        <w:pStyle w:val="Heading2"/>
      </w:pPr>
      <w:r>
        <w:t>Diseño de una Solución de Inteligencia de Negocios para la Gestión de Órdenes de Servicio ARL en la IPS SYSO Empresarial S.A.S.</w:t>
      </w:r>
    </w:p>
    <w:p>
      <w:pPr>
        <w:pStyle w:val="Heading2"/>
      </w:pPr>
      <w:r>
        <w:t>3.1 Propósito</w:t>
      </w:r>
    </w:p>
    <w:p>
      <w:r>
        <w:t>El diseño metodológico tiene como propósito definir el proceso mediante el cual se integrará, transformará y visualizará la información de las órdenes de servicio ARL, culminando en un tablero de inteligencia de negocios desarrollado en Python/Flask que permita el monitoreo en tiempo real y el apoyo a la toma de decisiones gerenciales en la IPS SYSO Empresarial &amp; Laboratorio Clínico.</w:t>
      </w:r>
    </w:p>
    <w:p>
      <w:pPr>
        <w:pStyle w:val="Heading2"/>
      </w:pPr>
      <w:r>
        <w:t>3.2 Tipo de Investigación y Enfoque</w:t>
      </w:r>
    </w:p>
    <w:p>
      <w:r>
        <w:t xml:space="preserve">El proyecto se desarrolla bajo un enfoque </w:t>
      </w:r>
      <w:r>
        <w:rPr>
          <w:b/>
        </w:rPr>
        <w:t>cuantitativo y aplicado</w:t>
      </w:r>
      <w:r>
        <w:t>:</w:t>
      </w:r>
    </w:p>
    <w:p>
      <w:pPr>
        <w:pStyle w:val="ListBullet"/>
      </w:pPr>
      <w:r/>
      <w:r>
        <w:rPr>
          <w:b/>
        </w:rPr>
        <w:t>Cuantitativo:</w:t>
      </w:r>
      <w:r>
        <w:t xml:space="preserve"> se analizan datos numéricos y categóricos relacionados con las órdenes de servicio: estados del flujo operativo, ARL asociada, fechas de registro, ejecución y facturación, profesional responsable, tipo de servicio, empresa destinataria y valor facturado.</w:t>
      </w:r>
    </w:p>
    <w:p>
      <w:pPr>
        <w:pStyle w:val="ListBullet"/>
      </w:pPr>
      <w:r/>
      <w:r>
        <w:rPr>
          <w:b/>
        </w:rPr>
        <w:t>Aplicado:</w:t>
      </w:r>
      <w:r>
        <w:t xml:space="preserve"> se busca generar resultados prácticos y medibles que optimicen la operación, la facturación y la gestión administrativa de la IPS, a partir de herramientas de analítica de datos implementadas en un entorno de producción real.</w:t>
      </w:r>
    </w:p>
    <w:p>
      <w:pPr>
        <w:pStyle w:val="ListBullet"/>
      </w:pPr>
      <w:r/>
      <w:r>
        <w:rPr>
          <w:b/>
        </w:rPr>
        <w:t>Descriptivo-predictivo:</w:t>
      </w:r>
      <w:r>
        <w:t xml:space="preserve"> el proyecto combina analítica descriptiva (KPIs, gráficos de distribución, análisis de estados) con un componente predictivo de regresión lineal para la proyección de ingresos a seis meses.</w:t>
      </w:r>
    </w:p>
    <w:p>
      <w:r>
        <w:t>Este enfoque permite medir, comparar y analizar grandes volúmenes de datos históricos y actuales (45.000 órdenes, periodo 2020–2026), identificar patrones y riesgos de vencimiento de cartera, y generar información útil para las decisiones estratégicas de la gerencia.</w:t>
      </w:r>
    </w:p>
    <w:p>
      <w:pPr>
        <w:pStyle w:val="Heading2"/>
      </w:pPr>
      <w:r>
        <w:t>3.3 Fuentes y Características de los Datos</w:t>
      </w:r>
    </w:p>
    <w:p>
      <w:pPr>
        <w:pStyle w:val="Heading3"/>
      </w:pPr>
      <w:r>
        <w:t>3.3.1 Clasificación de los Datos</w:t>
      </w:r>
    </w:p>
    <w:p>
      <w:r>
        <w:t xml:space="preserve">Los datos utilizados en el proyecto son de tipo </w:t>
      </w:r>
      <w:r>
        <w:rPr>
          <w:b/>
        </w:rPr>
        <w:t>estructurado</w:t>
      </w:r>
      <w:r>
        <w:t>, organizados en registros tabulares con campos tipados (texto, fecha, numérico, categórico). Su fuente principal es la Matriz de Gestión ARL 2026 (MAT-ARL-001, versión 03), un archivo Excel con 45.000 registros que consolida todas las órdenes de servicio gestionadas por la IPS desde el año 2020.¹</w:t>
      </w:r>
    </w:p>
    <w:p>
      <w:pPr>
        <w:ind w:left="720"/>
      </w:pPr>
      <w:r>
        <w:rPr>
          <w:i/>
          <w:sz w:val="20"/>
        </w:rPr>
        <w:t xml:space="preserve">¹ </w:t>
      </w:r>
      <w:r>
        <w:rPr>
          <w:b/>
          <w:i/>
          <w:sz w:val="20"/>
        </w:rPr>
        <w:t>Nota al pie (Word):</w:t>
      </w:r>
      <w:r>
        <w:rPr>
          <w:i/>
          <w:sz w:val="20"/>
        </w:rPr>
        <w:t xml:space="preserve"> SYSO Empresarial S.A.S. (2026). </w:t>
      </w:r>
      <w:r>
        <w:rPr>
          <w:i/>
          <w:sz w:val="20"/>
        </w:rPr>
        <w:t>Matriz de Gestión ARL 2026</w:t>
      </w:r>
      <w:r>
        <w:rPr>
          <w:i/>
          <w:sz w:val="20"/>
        </w:rPr>
        <w:t xml:space="preserve"> (MAT-ARL-001, versión 03) [Documento interno]. SYSO Empresarial &amp; Laboratorio Clínico. Este documento es la fuente primaria de datos del proyecto y constituye el insumo central del proceso ETL.</w:t>
      </w:r>
    </w:p>
    <w:p>
      <w:pPr>
        <w:pStyle w:val="Heading3"/>
      </w:pPr>
      <w:r>
        <w:t>3.3.2 Fuentes de Datos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pPr>
            <w:r/>
            <w:r>
              <w:rPr>
                <w:rFonts w:ascii="Times New Roman" w:hAnsi="Times New Roman"/>
                <w:b/>
                <w:sz w:val="20"/>
              </w:rPr>
              <w:t>Fuente</w:t>
            </w:r>
          </w:p>
        </w:tc>
        <w:tc>
          <w:tcPr>
            <w:tcW w:type="dxa" w:w="2340"/>
          </w:tcPr>
          <w:p>
            <w:pPr>
              <w:spacing w:line="276" w:lineRule="auto"/>
            </w:pPr>
            <w:r/>
            <w:r>
              <w:rPr>
                <w:rFonts w:ascii="Times New Roman" w:hAnsi="Times New Roman"/>
                <w:b/>
                <w:sz w:val="20"/>
              </w:rPr>
              <w:t>Tipo</w:t>
            </w:r>
          </w:p>
        </w:tc>
        <w:tc>
          <w:tcPr>
            <w:tcW w:type="dxa" w:w="2340"/>
          </w:tcPr>
          <w:p>
            <w:pPr>
              <w:spacing w:line="276" w:lineRule="auto"/>
            </w:pPr>
            <w:r/>
            <w:r>
              <w:rPr>
                <w:rFonts w:ascii="Times New Roman" w:hAnsi="Times New Roman"/>
                <w:b/>
                <w:sz w:val="20"/>
              </w:rPr>
              <w:t>Contenido</w:t>
            </w:r>
          </w:p>
        </w:tc>
        <w:tc>
          <w:tcPr>
            <w:tcW w:type="dxa" w:w="2340"/>
          </w:tcPr>
          <w:p>
            <w:pPr>
              <w:spacing w:line="276" w:lineRule="auto"/>
            </w:pPr>
            <w:r/>
            <w:r>
              <w:rPr>
                <w:rFonts w:ascii="Times New Roman" w:hAnsi="Times New Roman"/>
                <w:b/>
                <w:sz w:val="20"/>
              </w:rPr>
              <w:t>Formato</w:t>
            </w:r>
          </w:p>
        </w:tc>
      </w:tr>
      <w:tr>
        <w:tc>
          <w:tcPr>
            <w:tcW w:type="dxa" w:w="2340"/>
          </w:tcPr>
          <w:p>
            <w:pPr>
              <w:spacing w:line="276" w:lineRule="auto"/>
            </w:pPr>
            <w:r/>
            <w:r>
              <w:rPr>
                <w:rFonts w:ascii="Times New Roman" w:hAnsi="Times New Roman"/>
                <w:sz w:val="20"/>
              </w:rPr>
              <w:t>Matriz de Gestión ARL 2026</w:t>
            </w:r>
          </w:p>
        </w:tc>
        <w:tc>
          <w:tcPr>
            <w:tcW w:type="dxa" w:w="2340"/>
          </w:tcPr>
          <w:p>
            <w:pPr>
              <w:spacing w:line="276" w:lineRule="auto"/>
            </w:pPr>
            <w:r/>
            <w:r>
              <w:rPr>
                <w:rFonts w:ascii="Times New Roman" w:hAnsi="Times New Roman"/>
                <w:sz w:val="20"/>
              </w:rPr>
              <w:t>Primaria interna</w:t>
            </w:r>
          </w:p>
        </w:tc>
        <w:tc>
          <w:tcPr>
            <w:tcW w:type="dxa" w:w="2340"/>
          </w:tcPr>
          <w:p>
            <w:pPr>
              <w:spacing w:line="276" w:lineRule="auto"/>
            </w:pPr>
            <w:r/>
            <w:r>
              <w:rPr>
                <w:rFonts w:ascii="Times New Roman" w:hAnsi="Times New Roman"/>
                <w:sz w:val="20"/>
              </w:rPr>
              <w:t>Órdenes de servicio: ID, fecha, ARL, empresa, tipo servicio, estado, valor</w:t>
            </w:r>
          </w:p>
        </w:tc>
        <w:tc>
          <w:tcPr>
            <w:tcW w:type="dxa" w:w="2340"/>
          </w:tcPr>
          <w:p>
            <w:pPr>
              <w:spacing w:line="276" w:lineRule="auto"/>
            </w:pPr>
            <w:r/>
            <w:r>
              <w:rPr>
                <w:rFonts w:ascii="Times New Roman" w:hAnsi="Times New Roman"/>
                <w:sz w:val="20"/>
              </w:rPr>
              <w:t>Excel (.xlsx)</w:t>
            </w:r>
          </w:p>
        </w:tc>
      </w:tr>
      <w:tr>
        <w:tc>
          <w:tcPr>
            <w:tcW w:type="dxa" w:w="2340"/>
          </w:tcPr>
          <w:p>
            <w:pPr>
              <w:spacing w:line="276" w:lineRule="auto"/>
            </w:pPr>
            <w:r/>
            <w:r>
              <w:rPr>
                <w:rFonts w:ascii="Times New Roman" w:hAnsi="Times New Roman"/>
                <w:sz w:val="20"/>
              </w:rPr>
              <w:t>Portales de las ARL (Sura, Colmena, Bolívar, Alfa)</w:t>
            </w:r>
          </w:p>
        </w:tc>
        <w:tc>
          <w:tcPr>
            <w:tcW w:type="dxa" w:w="2340"/>
          </w:tcPr>
          <w:p>
            <w:pPr>
              <w:spacing w:line="276" w:lineRule="auto"/>
            </w:pPr>
            <w:r/>
            <w:r>
              <w:rPr>
                <w:rFonts w:ascii="Times New Roman" w:hAnsi="Times New Roman"/>
                <w:sz w:val="20"/>
              </w:rPr>
              <w:t>Primaria externa</w:t>
            </w:r>
          </w:p>
        </w:tc>
        <w:tc>
          <w:tcPr>
            <w:tcW w:type="dxa" w:w="2340"/>
          </w:tcPr>
          <w:p>
            <w:pPr>
              <w:spacing w:line="276" w:lineRule="auto"/>
            </w:pPr>
            <w:r/>
            <w:r>
              <w:rPr>
                <w:rFonts w:ascii="Times New Roman" w:hAnsi="Times New Roman"/>
                <w:sz w:val="20"/>
              </w:rPr>
              <w:t>Órdenes emitidas por cada administradora</w:t>
            </w:r>
          </w:p>
        </w:tc>
        <w:tc>
          <w:tcPr>
            <w:tcW w:type="dxa" w:w="2340"/>
          </w:tcPr>
          <w:p>
            <w:pPr>
              <w:spacing w:line="276" w:lineRule="auto"/>
            </w:pPr>
            <w:r/>
            <w:r>
              <w:rPr>
                <w:rFonts w:ascii="Times New Roman" w:hAnsi="Times New Roman"/>
                <w:sz w:val="20"/>
              </w:rPr>
              <w:t>Web / descarga manual</w:t>
            </w:r>
          </w:p>
        </w:tc>
      </w:tr>
      <w:tr>
        <w:tc>
          <w:tcPr>
            <w:tcW w:type="dxa" w:w="2340"/>
          </w:tcPr>
          <w:p>
            <w:pPr>
              <w:spacing w:line="276" w:lineRule="auto"/>
            </w:pPr>
            <w:r/>
            <w:r>
              <w:rPr>
                <w:rFonts w:ascii="Times New Roman" w:hAnsi="Times New Roman"/>
                <w:sz w:val="20"/>
              </w:rPr>
              <w:t>Reportes de facturación</w:t>
            </w:r>
          </w:p>
        </w:tc>
        <w:tc>
          <w:tcPr>
            <w:tcW w:type="dxa" w:w="2340"/>
          </w:tcPr>
          <w:p>
            <w:pPr>
              <w:spacing w:line="276" w:lineRule="auto"/>
            </w:pPr>
            <w:r/>
            <w:r>
              <w:rPr>
                <w:rFonts w:ascii="Times New Roman" w:hAnsi="Times New Roman"/>
                <w:sz w:val="20"/>
              </w:rPr>
              <w:t>Primaria interna</w:t>
            </w:r>
          </w:p>
        </w:tc>
        <w:tc>
          <w:tcPr>
            <w:tcW w:type="dxa" w:w="2340"/>
          </w:tcPr>
          <w:p>
            <w:pPr>
              <w:spacing w:line="276" w:lineRule="auto"/>
            </w:pPr>
            <w:r/>
            <w:r>
              <w:rPr>
                <w:rFonts w:ascii="Times New Roman" w:hAnsi="Times New Roman"/>
                <w:sz w:val="20"/>
              </w:rPr>
              <w:t>Fechas de facturación, valores facturados por ARL</w:t>
            </w:r>
          </w:p>
        </w:tc>
        <w:tc>
          <w:tcPr>
            <w:tcW w:type="dxa" w:w="2340"/>
          </w:tcPr>
          <w:p>
            <w:pPr>
              <w:spacing w:line="276" w:lineRule="auto"/>
            </w:pPr>
            <w:r/>
            <w:r>
              <w:rPr>
                <w:rFonts w:ascii="Times New Roman" w:hAnsi="Times New Roman"/>
                <w:sz w:val="20"/>
              </w:rPr>
              <w:t>Excel (.xlsx)</w:t>
            </w:r>
          </w:p>
        </w:tc>
      </w:tr>
      <w:tr>
        <w:tc>
          <w:tcPr>
            <w:tcW w:type="dxa" w:w="2340"/>
          </w:tcPr>
          <w:p>
            <w:pPr>
              <w:spacing w:line="276" w:lineRule="auto"/>
            </w:pPr>
            <w:r/>
            <w:r>
              <w:rPr>
                <w:rFonts w:ascii="Times New Roman" w:hAnsi="Times New Roman"/>
                <w:sz w:val="20"/>
              </w:rPr>
              <w:t>Reportes de cartera</w:t>
            </w:r>
          </w:p>
        </w:tc>
        <w:tc>
          <w:tcPr>
            <w:tcW w:type="dxa" w:w="2340"/>
          </w:tcPr>
          <w:p>
            <w:pPr>
              <w:spacing w:line="276" w:lineRule="auto"/>
            </w:pPr>
            <w:r/>
            <w:r>
              <w:rPr>
                <w:rFonts w:ascii="Times New Roman" w:hAnsi="Times New Roman"/>
                <w:sz w:val="20"/>
              </w:rPr>
              <w:t>Primaria interna</w:t>
            </w:r>
          </w:p>
        </w:tc>
        <w:tc>
          <w:tcPr>
            <w:tcW w:type="dxa" w:w="2340"/>
          </w:tcPr>
          <w:p>
            <w:pPr>
              <w:spacing w:line="276" w:lineRule="auto"/>
            </w:pPr>
            <w:r/>
            <w:r>
              <w:rPr>
                <w:rFonts w:ascii="Times New Roman" w:hAnsi="Times New Roman"/>
                <w:sz w:val="20"/>
              </w:rPr>
              <w:t>Órdenes ejecutadas sin facturar, días de antigüedad</w:t>
            </w:r>
          </w:p>
        </w:tc>
        <w:tc>
          <w:tcPr>
            <w:tcW w:type="dxa" w:w="2340"/>
          </w:tcPr>
          <w:p>
            <w:pPr>
              <w:spacing w:line="276" w:lineRule="auto"/>
            </w:pPr>
            <w:r/>
            <w:r>
              <w:rPr>
                <w:rFonts w:ascii="Times New Roman" w:hAnsi="Times New Roman"/>
                <w:sz w:val="20"/>
              </w:rPr>
              <w:t>Excel (.xlsx)</w:t>
            </w:r>
          </w:p>
        </w:tc>
      </w:tr>
      <w:tr>
        <w:tc>
          <w:tcPr>
            <w:tcW w:type="dxa" w:w="2340"/>
          </w:tcPr>
          <w:p>
            <w:pPr>
              <w:spacing w:line="276" w:lineRule="auto"/>
            </w:pPr>
            <w:r/>
            <w:r>
              <w:rPr>
                <w:rFonts w:ascii="Times New Roman" w:hAnsi="Times New Roman"/>
                <w:sz w:val="20"/>
              </w:rPr>
              <w:t>Resolución 3100 de 2019</w:t>
            </w:r>
          </w:p>
        </w:tc>
        <w:tc>
          <w:tcPr>
            <w:tcW w:type="dxa" w:w="2340"/>
          </w:tcPr>
          <w:p>
            <w:pPr>
              <w:spacing w:line="276" w:lineRule="auto"/>
            </w:pPr>
            <w:r/>
            <w:r>
              <w:rPr>
                <w:rFonts w:ascii="Times New Roman" w:hAnsi="Times New Roman"/>
                <w:sz w:val="20"/>
              </w:rPr>
              <w:t>Secundaria regulatoria</w:t>
            </w:r>
          </w:p>
        </w:tc>
        <w:tc>
          <w:tcPr>
            <w:tcW w:type="dxa" w:w="2340"/>
          </w:tcPr>
          <w:p>
            <w:pPr>
              <w:spacing w:line="276" w:lineRule="auto"/>
            </w:pPr>
            <w:r/>
            <w:r>
              <w:rPr>
                <w:rFonts w:ascii="Times New Roman" w:hAnsi="Times New Roman"/>
                <w:sz w:val="20"/>
              </w:rPr>
              <w:t>Marco normativo de habilitación IPS</w:t>
            </w:r>
          </w:p>
        </w:tc>
        <w:tc>
          <w:tcPr>
            <w:tcW w:type="dxa" w:w="2340"/>
          </w:tcPr>
          <w:p>
            <w:pPr>
              <w:spacing w:line="276" w:lineRule="auto"/>
            </w:pPr>
            <w:r/>
            <w:r>
              <w:rPr>
                <w:rFonts w:ascii="Times New Roman" w:hAnsi="Times New Roman"/>
                <w:sz w:val="20"/>
              </w:rPr>
              <w:t>PDF</w:t>
            </w:r>
          </w:p>
        </w:tc>
      </w:tr>
    </w:tbl>
    <w:p/>
    <w:p>
      <w:pPr>
        <w:pStyle w:val="Heading3"/>
      </w:pPr>
      <w:r>
        <w:t>3.3.3 Aspectos Éticos del Tratamiento de Datos</w:t>
      </w:r>
    </w:p>
    <w:p>
      <w:r/>
      <w:r>
        <w:rPr>
          <w:b/>
        </w:rPr>
        <w:t>Consentimiento informado:</w:t>
      </w:r>
      <w:r>
        <w:t xml:space="preserve"> Los datos de órdenes de servicio son registros administrativos y financieros de la IPS, no datos clínicos de pacientes. Su tratamiento se enmarca en la relación contractual entre la IPS y las ARL, por lo que no requiere consentimiento individual de pacientes. Sin embargo, en cumplimiento de la Ley 1581 de 2012, la IPS debe contar con políticas de tratamiento de datos aprobadas.²</w:t>
      </w:r>
    </w:p>
    <w:p>
      <w:r/>
      <w:r>
        <w:rPr>
          <w:b/>
        </w:rPr>
        <w:t>Anonimización:</w:t>
      </w:r>
      <w:r>
        <w:t xml:space="preserve"> En el entorno de demostración pública del tablero (https://syso-bi-dashboard.onrender.com), los datos son sintéticos: los nombres de empresas, responsables y valores son generados algorítmicamente a partir del catálogo real de servicios SYSO, sin exponer información real de ninguna organización o persona natural.</w:t>
      </w:r>
    </w:p>
    <w:p>
      <w:r/>
      <w:r>
        <w:rPr>
          <w:b/>
        </w:rPr>
        <w:t>Protección de datos sensibles:</w:t>
      </w:r>
      <w:r>
        <w:t xml:space="preserve"> El tablero en producción implementa autenticación con credenciales, uso de SECRET_KEY aleatoria generada por Render.com, y no persiste datos en disco entre sesiones. El acceso está restringido al personal autorizado de la IPS.</w:t>
      </w:r>
    </w:p>
    <w:p>
      <w:pPr>
        <w:ind w:left="720"/>
      </w:pPr>
      <w:r>
        <w:rPr>
          <w:i/>
          <w:sz w:val="20"/>
        </w:rPr>
        <w:t xml:space="preserve">² </w:t>
      </w:r>
      <w:r>
        <w:rPr>
          <w:b/>
          <w:i/>
          <w:sz w:val="20"/>
        </w:rPr>
        <w:t>Nota al pie (Word):</w:t>
      </w:r>
      <w:r>
        <w:rPr>
          <w:i/>
          <w:sz w:val="20"/>
        </w:rPr>
        <w:t xml:space="preserve"> Congreso de la República de Colombia. (2012). </w:t>
      </w:r>
      <w:r>
        <w:rPr>
          <w:i/>
          <w:sz w:val="20"/>
        </w:rPr>
        <w:t>Ley 1581 de 2012, por la cual se dictan disposiciones generales para la protección de datos personales</w:t>
      </w:r>
      <w:r>
        <w:rPr>
          <w:i/>
          <w:sz w:val="20"/>
        </w:rPr>
        <w:t>. Diario Oficial 48587. https://www.funcionpublica.gov.co/eva/gestornormativo/norma.php?i=49981</w:t>
      </w:r>
    </w:p>
    <w:p>
      <w:pPr>
        <w:pStyle w:val="Heading2"/>
      </w:pPr>
      <w:r>
        <w:t>3.4 Variables y Atributos Clave</w:t>
      </w:r>
    </w:p>
    <w:p>
      <w:r>
        <w:t>La siguiente tabla presenta las variables del modelo de datos implementado, clasificadas por tipo, fuente, métrica y relevancia para los objetivos del proyecto: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76" w:lineRule="auto"/>
            </w:pPr>
            <w:r/>
            <w:r>
              <w:rPr>
                <w:rFonts w:ascii="Times New Roman" w:hAnsi="Times New Roman"/>
                <w:b/>
                <w:sz w:val="20"/>
              </w:rPr>
              <w:t>Variable</w:t>
            </w:r>
          </w:p>
        </w:tc>
        <w:tc>
          <w:tcPr>
            <w:tcW w:type="dxa" w:w="1872"/>
          </w:tcPr>
          <w:p>
            <w:pPr>
              <w:spacing w:line="276" w:lineRule="auto"/>
            </w:pPr>
            <w:r/>
            <w:r>
              <w:rPr>
                <w:rFonts w:ascii="Times New Roman" w:hAnsi="Times New Roman"/>
                <w:b/>
                <w:sz w:val="20"/>
              </w:rPr>
              <w:t>Tipo</w:t>
            </w:r>
          </w:p>
        </w:tc>
        <w:tc>
          <w:tcPr>
            <w:tcW w:type="dxa" w:w="1872"/>
          </w:tcPr>
          <w:p>
            <w:pPr>
              <w:spacing w:line="276" w:lineRule="auto"/>
            </w:pPr>
            <w:r/>
            <w:r>
              <w:rPr>
                <w:rFonts w:ascii="Times New Roman" w:hAnsi="Times New Roman"/>
                <w:b/>
                <w:sz w:val="20"/>
              </w:rPr>
              <w:t>Fuente</w:t>
            </w:r>
          </w:p>
        </w:tc>
        <w:tc>
          <w:tcPr>
            <w:tcW w:type="dxa" w:w="1872"/>
          </w:tcPr>
          <w:p>
            <w:pPr>
              <w:spacing w:line="276" w:lineRule="auto"/>
            </w:pPr>
            <w:r/>
            <w:r>
              <w:rPr>
                <w:rFonts w:ascii="Times New Roman" w:hAnsi="Times New Roman"/>
                <w:b/>
                <w:sz w:val="20"/>
              </w:rPr>
              <w:t>Métrica principal</w:t>
            </w:r>
          </w:p>
        </w:tc>
        <w:tc>
          <w:tcPr>
            <w:tcW w:type="dxa" w:w="1872"/>
          </w:tcPr>
          <w:p>
            <w:pPr>
              <w:spacing w:line="276" w:lineRule="auto"/>
            </w:pPr>
            <w:r/>
            <w:r>
              <w:rPr>
                <w:rFonts w:ascii="Times New Roman" w:hAnsi="Times New Roman"/>
                <w:b/>
                <w:sz w:val="20"/>
              </w:rPr>
              <w:t>Relevancia para el proyecto</w:t>
            </w:r>
          </w:p>
        </w:tc>
      </w:tr>
      <w:tr>
        <w:tc>
          <w:tcPr>
            <w:tcW w:type="dxa" w:w="1872"/>
          </w:tcPr>
          <w:p>
            <w:pPr>
              <w:spacing w:line="276" w:lineRule="auto"/>
            </w:pPr>
            <w:r/>
            <w:r>
              <w:rPr>
                <w:rFonts w:ascii="Times New Roman" w:hAnsi="Times New Roman"/>
                <w:sz w:val="20"/>
              </w:rPr>
              <w:t>ID de orden</w:t>
            </w:r>
          </w:p>
        </w:tc>
        <w:tc>
          <w:tcPr>
            <w:tcW w:type="dxa" w:w="1872"/>
          </w:tcPr>
          <w:p>
            <w:pPr>
              <w:spacing w:line="276" w:lineRule="auto"/>
            </w:pPr>
            <w:r/>
            <w:r>
              <w:rPr>
                <w:rFonts w:ascii="Times New Roman" w:hAnsi="Times New Roman"/>
                <w:sz w:val="20"/>
              </w:rPr>
              <w:t>Cuantitativa discreta</w:t>
            </w:r>
          </w:p>
        </w:tc>
        <w:tc>
          <w:tcPr>
            <w:tcW w:type="dxa" w:w="1872"/>
          </w:tcPr>
          <w:p>
            <w:pPr>
              <w:spacing w:line="276" w:lineRule="auto"/>
            </w:pPr>
            <w:r/>
            <w:r>
              <w:rPr>
                <w:rFonts w:ascii="Times New Roman" w:hAnsi="Times New Roman"/>
                <w:sz w:val="20"/>
              </w:rPr>
              <w:t>Matriz ARL</w:t>
            </w:r>
          </w:p>
        </w:tc>
        <w:tc>
          <w:tcPr>
            <w:tcW w:type="dxa" w:w="1872"/>
          </w:tcPr>
          <w:p>
            <w:pPr>
              <w:spacing w:line="276" w:lineRule="auto"/>
            </w:pPr>
            <w:r/>
            <w:r>
              <w:rPr>
                <w:rFonts w:ascii="Times New Roman" w:hAnsi="Times New Roman"/>
                <w:sz w:val="20"/>
              </w:rPr>
              <w:t>Conteo total</w:t>
            </w:r>
          </w:p>
        </w:tc>
        <w:tc>
          <w:tcPr>
            <w:tcW w:type="dxa" w:w="1872"/>
          </w:tcPr>
          <w:p>
            <w:pPr>
              <w:spacing w:line="276" w:lineRule="auto"/>
            </w:pPr>
            <w:r/>
            <w:r>
              <w:rPr>
                <w:rFonts w:ascii="Times New Roman" w:hAnsi="Times New Roman"/>
                <w:sz w:val="20"/>
              </w:rPr>
              <w:t>Identifica unívocamente cada orden; base del KPI "Total Órdenes"</w:t>
            </w:r>
          </w:p>
        </w:tc>
      </w:tr>
      <w:tr>
        <w:tc>
          <w:tcPr>
            <w:tcW w:type="dxa" w:w="1872"/>
          </w:tcPr>
          <w:p>
            <w:pPr>
              <w:spacing w:line="276" w:lineRule="auto"/>
            </w:pPr>
            <w:r/>
            <w:r>
              <w:rPr>
                <w:rFonts w:ascii="Times New Roman" w:hAnsi="Times New Roman"/>
                <w:sz w:val="20"/>
              </w:rPr>
              <w:t>Fecha de registro</w:t>
            </w:r>
          </w:p>
        </w:tc>
        <w:tc>
          <w:tcPr>
            <w:tcW w:type="dxa" w:w="1872"/>
          </w:tcPr>
          <w:p>
            <w:pPr>
              <w:spacing w:line="276" w:lineRule="auto"/>
            </w:pPr>
            <w:r/>
            <w:r>
              <w:rPr>
                <w:rFonts w:ascii="Times New Roman" w:hAnsi="Times New Roman"/>
                <w:sz w:val="20"/>
              </w:rPr>
              <w:t>Cuantitativa continua (fecha)</w:t>
            </w:r>
          </w:p>
        </w:tc>
        <w:tc>
          <w:tcPr>
            <w:tcW w:type="dxa" w:w="1872"/>
          </w:tcPr>
          <w:p>
            <w:pPr>
              <w:spacing w:line="276" w:lineRule="auto"/>
            </w:pPr>
            <w:r/>
            <w:r>
              <w:rPr>
                <w:rFonts w:ascii="Times New Roman" w:hAnsi="Times New Roman"/>
                <w:sz w:val="20"/>
              </w:rPr>
              <w:t>Matriz ARL</w:t>
            </w:r>
          </w:p>
        </w:tc>
        <w:tc>
          <w:tcPr>
            <w:tcW w:type="dxa" w:w="1872"/>
          </w:tcPr>
          <w:p>
            <w:pPr>
              <w:spacing w:line="276" w:lineRule="auto"/>
            </w:pPr>
            <w:r/>
            <w:r>
              <w:rPr>
                <w:rFonts w:ascii="Times New Roman" w:hAnsi="Times New Roman"/>
                <w:sz w:val="20"/>
              </w:rPr>
              <w:t>Distribución mensual</w:t>
            </w:r>
          </w:p>
        </w:tc>
        <w:tc>
          <w:tcPr>
            <w:tcW w:type="dxa" w:w="1872"/>
          </w:tcPr>
          <w:p>
            <w:pPr>
              <w:spacing w:line="276" w:lineRule="auto"/>
            </w:pPr>
            <w:r/>
            <w:r>
              <w:rPr>
                <w:rFonts w:ascii="Times New Roman" w:hAnsi="Times New Roman"/>
                <w:sz w:val="20"/>
              </w:rPr>
              <w:t>Permite análisis temporal y proyección de tendencias</w:t>
            </w:r>
          </w:p>
        </w:tc>
      </w:tr>
      <w:tr>
        <w:tc>
          <w:tcPr>
            <w:tcW w:type="dxa" w:w="1872"/>
          </w:tcPr>
          <w:p>
            <w:pPr>
              <w:spacing w:line="276" w:lineRule="auto"/>
            </w:pPr>
            <w:r/>
            <w:r>
              <w:rPr>
                <w:rFonts w:ascii="Times New Roman" w:hAnsi="Times New Roman"/>
                <w:sz w:val="20"/>
              </w:rPr>
              <w:t>ARL asociada</w:t>
            </w:r>
          </w:p>
        </w:tc>
        <w:tc>
          <w:tcPr>
            <w:tcW w:type="dxa" w:w="1872"/>
          </w:tcPr>
          <w:p>
            <w:pPr>
              <w:spacing w:line="276" w:lineRule="auto"/>
            </w:pPr>
            <w:r/>
            <w:r>
              <w:rPr>
                <w:rFonts w:ascii="Times New Roman" w:hAnsi="Times New Roman"/>
                <w:sz w:val="20"/>
              </w:rPr>
              <w:t>Categórica nominal</w:t>
            </w:r>
          </w:p>
        </w:tc>
        <w:tc>
          <w:tcPr>
            <w:tcW w:type="dxa" w:w="1872"/>
          </w:tcPr>
          <w:p>
            <w:pPr>
              <w:spacing w:line="276" w:lineRule="auto"/>
            </w:pPr>
            <w:r/>
            <w:r>
              <w:rPr>
                <w:rFonts w:ascii="Times New Roman" w:hAnsi="Times New Roman"/>
                <w:sz w:val="20"/>
              </w:rPr>
              <w:t>Matriz ARL</w:t>
            </w:r>
          </w:p>
        </w:tc>
        <w:tc>
          <w:tcPr>
            <w:tcW w:type="dxa" w:w="1872"/>
          </w:tcPr>
          <w:p>
            <w:pPr>
              <w:spacing w:line="276" w:lineRule="auto"/>
            </w:pPr>
            <w:r/>
            <w:r>
              <w:rPr>
                <w:rFonts w:ascii="Times New Roman" w:hAnsi="Times New Roman"/>
                <w:sz w:val="20"/>
              </w:rPr>
              <w:t>Frecuencia por categoría</w:t>
            </w:r>
          </w:p>
        </w:tc>
        <w:tc>
          <w:tcPr>
            <w:tcW w:type="dxa" w:w="1872"/>
          </w:tcPr>
          <w:p>
            <w:pPr>
              <w:spacing w:line="276" w:lineRule="auto"/>
            </w:pPr>
            <w:r/>
            <w:r>
              <w:rPr>
                <w:rFonts w:ascii="Times New Roman" w:hAnsi="Times New Roman"/>
                <w:sz w:val="20"/>
              </w:rPr>
              <w:t>Segmenta el análisis por administradora; base de todos los KPIs por ARL</w:t>
            </w:r>
          </w:p>
        </w:tc>
      </w:tr>
      <w:tr>
        <w:tc>
          <w:tcPr>
            <w:tcW w:type="dxa" w:w="1872"/>
          </w:tcPr>
          <w:p>
            <w:pPr>
              <w:spacing w:line="276" w:lineRule="auto"/>
            </w:pPr>
            <w:r/>
            <w:r>
              <w:rPr>
                <w:rFonts w:ascii="Times New Roman" w:hAnsi="Times New Roman"/>
                <w:sz w:val="20"/>
              </w:rPr>
              <w:t>Empresa destinataria</w:t>
            </w:r>
          </w:p>
        </w:tc>
        <w:tc>
          <w:tcPr>
            <w:tcW w:type="dxa" w:w="1872"/>
          </w:tcPr>
          <w:p>
            <w:pPr>
              <w:spacing w:line="276" w:lineRule="auto"/>
            </w:pPr>
            <w:r/>
            <w:r>
              <w:rPr>
                <w:rFonts w:ascii="Times New Roman" w:hAnsi="Times New Roman"/>
                <w:sz w:val="20"/>
              </w:rPr>
              <w:t>Categórica nominal</w:t>
            </w:r>
          </w:p>
        </w:tc>
        <w:tc>
          <w:tcPr>
            <w:tcW w:type="dxa" w:w="1872"/>
          </w:tcPr>
          <w:p>
            <w:pPr>
              <w:spacing w:line="276" w:lineRule="auto"/>
            </w:pPr>
            <w:r/>
            <w:r>
              <w:rPr>
                <w:rFonts w:ascii="Times New Roman" w:hAnsi="Times New Roman"/>
                <w:sz w:val="20"/>
              </w:rPr>
              <w:t>Matriz ARL</w:t>
            </w:r>
          </w:p>
        </w:tc>
        <w:tc>
          <w:tcPr>
            <w:tcW w:type="dxa" w:w="1872"/>
          </w:tcPr>
          <w:p>
            <w:pPr>
              <w:spacing w:line="276" w:lineRule="auto"/>
            </w:pPr>
            <w:r/>
            <w:r>
              <w:rPr>
                <w:rFonts w:ascii="Times New Roman" w:hAnsi="Times New Roman"/>
                <w:sz w:val="20"/>
              </w:rPr>
              <w:t>Frecuencia por empresa</w:t>
            </w:r>
          </w:p>
        </w:tc>
        <w:tc>
          <w:tcPr>
            <w:tcW w:type="dxa" w:w="1872"/>
          </w:tcPr>
          <w:p>
            <w:pPr>
              <w:spacing w:line="276" w:lineRule="auto"/>
            </w:pPr>
            <w:r/>
            <w:r>
              <w:rPr>
                <w:rFonts w:ascii="Times New Roman" w:hAnsi="Times New Roman"/>
                <w:sz w:val="20"/>
              </w:rPr>
              <w:t>Identifica los clientes más activos y su concentración</w:t>
            </w:r>
          </w:p>
        </w:tc>
      </w:tr>
      <w:tr>
        <w:tc>
          <w:tcPr>
            <w:tcW w:type="dxa" w:w="1872"/>
          </w:tcPr>
          <w:p>
            <w:pPr>
              <w:spacing w:line="276" w:lineRule="auto"/>
            </w:pPr>
            <w:r/>
            <w:r>
              <w:rPr>
                <w:rFonts w:ascii="Times New Roman" w:hAnsi="Times New Roman"/>
                <w:sz w:val="20"/>
              </w:rPr>
              <w:t>Tipo de servicio</w:t>
            </w:r>
          </w:p>
        </w:tc>
        <w:tc>
          <w:tcPr>
            <w:tcW w:type="dxa" w:w="1872"/>
          </w:tcPr>
          <w:p>
            <w:pPr>
              <w:spacing w:line="276" w:lineRule="auto"/>
            </w:pPr>
            <w:r/>
            <w:r>
              <w:rPr>
                <w:rFonts w:ascii="Times New Roman" w:hAnsi="Times New Roman"/>
                <w:sz w:val="20"/>
              </w:rPr>
              <w:t>Categórica nominal</w:t>
            </w:r>
          </w:p>
        </w:tc>
        <w:tc>
          <w:tcPr>
            <w:tcW w:type="dxa" w:w="1872"/>
          </w:tcPr>
          <w:p>
            <w:pPr>
              <w:spacing w:line="276" w:lineRule="auto"/>
            </w:pPr>
            <w:r/>
            <w:r>
              <w:rPr>
                <w:rFonts w:ascii="Times New Roman" w:hAnsi="Times New Roman"/>
                <w:sz w:val="20"/>
              </w:rPr>
              <w:t>Catálogo SYSO</w:t>
            </w:r>
          </w:p>
        </w:tc>
        <w:tc>
          <w:tcPr>
            <w:tcW w:type="dxa" w:w="1872"/>
          </w:tcPr>
          <w:p>
            <w:pPr>
              <w:spacing w:line="276" w:lineRule="auto"/>
            </w:pPr>
            <w:r/>
            <w:r>
              <w:rPr>
                <w:rFonts w:ascii="Times New Roman" w:hAnsi="Times New Roman"/>
                <w:sz w:val="20"/>
              </w:rPr>
              <w:t>Frecuencia por tipo</w:t>
            </w:r>
          </w:p>
        </w:tc>
        <w:tc>
          <w:tcPr>
            <w:tcW w:type="dxa" w:w="1872"/>
          </w:tcPr>
          <w:p>
            <w:pPr>
              <w:spacing w:line="276" w:lineRule="auto"/>
            </w:pPr>
            <w:r/>
            <w:r>
              <w:rPr>
                <w:rFonts w:ascii="Times New Roman" w:hAnsi="Times New Roman"/>
                <w:sz w:val="20"/>
              </w:rPr>
              <w:t>Clasifica la oferta: Laboratorio, Pruebas Complementarias, Asesoría, Capacitación</w:t>
            </w:r>
          </w:p>
        </w:tc>
      </w:tr>
      <w:tr>
        <w:tc>
          <w:tcPr>
            <w:tcW w:type="dxa" w:w="1872"/>
          </w:tcPr>
          <w:p>
            <w:pPr>
              <w:spacing w:line="276" w:lineRule="auto"/>
            </w:pPr>
            <w:r/>
            <w:r>
              <w:rPr>
                <w:rFonts w:ascii="Times New Roman" w:hAnsi="Times New Roman"/>
                <w:sz w:val="20"/>
              </w:rPr>
              <w:t>Programa SVE</w:t>
            </w:r>
          </w:p>
        </w:tc>
        <w:tc>
          <w:tcPr>
            <w:tcW w:type="dxa" w:w="1872"/>
          </w:tcPr>
          <w:p>
            <w:pPr>
              <w:spacing w:line="276" w:lineRule="auto"/>
            </w:pPr>
            <w:r/>
            <w:r>
              <w:rPr>
                <w:rFonts w:ascii="Times New Roman" w:hAnsi="Times New Roman"/>
                <w:sz w:val="20"/>
              </w:rPr>
              <w:t>Categórica nominal</w:t>
            </w:r>
          </w:p>
        </w:tc>
        <w:tc>
          <w:tcPr>
            <w:tcW w:type="dxa" w:w="1872"/>
          </w:tcPr>
          <w:p>
            <w:pPr>
              <w:spacing w:line="276" w:lineRule="auto"/>
            </w:pPr>
            <w:r/>
            <w:r>
              <w:rPr>
                <w:rFonts w:ascii="Times New Roman" w:hAnsi="Times New Roman"/>
                <w:sz w:val="20"/>
              </w:rPr>
              <w:t>Catálogo SYSO</w:t>
            </w:r>
          </w:p>
        </w:tc>
        <w:tc>
          <w:tcPr>
            <w:tcW w:type="dxa" w:w="1872"/>
          </w:tcPr>
          <w:p>
            <w:pPr>
              <w:spacing w:line="276" w:lineRule="auto"/>
            </w:pPr>
            <w:r/>
            <w:r>
              <w:rPr>
                <w:rFonts w:ascii="Times New Roman" w:hAnsi="Times New Roman"/>
                <w:sz w:val="20"/>
              </w:rPr>
              <w:t>Frecuencia por programa</w:t>
            </w:r>
          </w:p>
        </w:tc>
        <w:tc>
          <w:tcPr>
            <w:tcW w:type="dxa" w:w="1872"/>
          </w:tcPr>
          <w:p>
            <w:pPr>
              <w:spacing w:line="276" w:lineRule="auto"/>
            </w:pPr>
            <w:r/>
            <w:r>
              <w:rPr>
                <w:rFonts w:ascii="Times New Roman" w:hAnsi="Times New Roman"/>
                <w:sz w:val="20"/>
              </w:rPr>
              <w:t>Permite filtros en cascada; análisis por línea de servicio</w:t>
            </w:r>
          </w:p>
        </w:tc>
      </w:tr>
      <w:tr>
        <w:tc>
          <w:tcPr>
            <w:tcW w:type="dxa" w:w="1872"/>
          </w:tcPr>
          <w:p>
            <w:pPr>
              <w:spacing w:line="276" w:lineRule="auto"/>
            </w:pPr>
            <w:r/>
            <w:r>
              <w:rPr>
                <w:rFonts w:ascii="Times New Roman" w:hAnsi="Times New Roman"/>
                <w:sz w:val="20"/>
              </w:rPr>
              <w:t>Tarea específica</w:t>
            </w:r>
          </w:p>
        </w:tc>
        <w:tc>
          <w:tcPr>
            <w:tcW w:type="dxa" w:w="1872"/>
          </w:tcPr>
          <w:p>
            <w:pPr>
              <w:spacing w:line="276" w:lineRule="auto"/>
            </w:pPr>
            <w:r/>
            <w:r>
              <w:rPr>
                <w:rFonts w:ascii="Times New Roman" w:hAnsi="Times New Roman"/>
                <w:sz w:val="20"/>
              </w:rPr>
              <w:t>Categórica nominal</w:t>
            </w:r>
          </w:p>
        </w:tc>
        <w:tc>
          <w:tcPr>
            <w:tcW w:type="dxa" w:w="1872"/>
          </w:tcPr>
          <w:p>
            <w:pPr>
              <w:spacing w:line="276" w:lineRule="auto"/>
            </w:pPr>
            <w:r/>
            <w:r>
              <w:rPr>
                <w:rFonts w:ascii="Times New Roman" w:hAnsi="Times New Roman"/>
                <w:sz w:val="20"/>
              </w:rPr>
              <w:t>Catálogo SYSO</w:t>
            </w:r>
          </w:p>
        </w:tc>
        <w:tc>
          <w:tcPr>
            <w:tcW w:type="dxa" w:w="1872"/>
          </w:tcPr>
          <w:p>
            <w:pPr>
              <w:spacing w:line="276" w:lineRule="auto"/>
            </w:pPr>
            <w:r/>
            <w:r>
              <w:rPr>
                <w:rFonts w:ascii="Times New Roman" w:hAnsi="Times New Roman"/>
                <w:sz w:val="20"/>
              </w:rPr>
              <w:t>Frecuencia por tarea</w:t>
            </w:r>
          </w:p>
        </w:tc>
        <w:tc>
          <w:tcPr>
            <w:tcW w:type="dxa" w:w="1872"/>
          </w:tcPr>
          <w:p>
            <w:pPr>
              <w:spacing w:line="276" w:lineRule="auto"/>
            </w:pPr>
            <w:r/>
            <w:r>
              <w:rPr>
                <w:rFonts w:ascii="Times New Roman" w:hAnsi="Times New Roman"/>
                <w:sz w:val="20"/>
              </w:rPr>
              <w:t>Nivel de detalle más granular del servicio prestado</w:t>
            </w:r>
          </w:p>
        </w:tc>
      </w:tr>
      <w:tr>
        <w:tc>
          <w:tcPr>
            <w:tcW w:type="dxa" w:w="1872"/>
          </w:tcPr>
          <w:p>
            <w:pPr>
              <w:spacing w:line="276" w:lineRule="auto"/>
            </w:pPr>
            <w:r/>
            <w:r>
              <w:rPr>
                <w:rFonts w:ascii="Times New Roman" w:hAnsi="Times New Roman"/>
                <w:sz w:val="20"/>
              </w:rPr>
              <w:t>Cantidad de trabajadores</w:t>
            </w:r>
          </w:p>
        </w:tc>
        <w:tc>
          <w:tcPr>
            <w:tcW w:type="dxa" w:w="1872"/>
          </w:tcPr>
          <w:p>
            <w:pPr>
              <w:spacing w:line="276" w:lineRule="auto"/>
            </w:pPr>
            <w:r/>
            <w:r>
              <w:rPr>
                <w:rFonts w:ascii="Times New Roman" w:hAnsi="Times New Roman"/>
                <w:sz w:val="20"/>
              </w:rPr>
              <w:t>Cuantitativa discreta</w:t>
            </w:r>
          </w:p>
        </w:tc>
        <w:tc>
          <w:tcPr>
            <w:tcW w:type="dxa" w:w="1872"/>
          </w:tcPr>
          <w:p>
            <w:pPr>
              <w:spacing w:line="276" w:lineRule="auto"/>
            </w:pPr>
            <w:r/>
            <w:r>
              <w:rPr>
                <w:rFonts w:ascii="Times New Roman" w:hAnsi="Times New Roman"/>
                <w:sz w:val="20"/>
              </w:rPr>
              <w:t>Orden de servicio</w:t>
            </w:r>
          </w:p>
        </w:tc>
        <w:tc>
          <w:tcPr>
            <w:tcW w:type="dxa" w:w="1872"/>
          </w:tcPr>
          <w:p>
            <w:pPr>
              <w:spacing w:line="276" w:lineRule="auto"/>
            </w:pPr>
            <w:r/>
            <w:r>
              <w:rPr>
                <w:rFonts w:ascii="Times New Roman" w:hAnsi="Times New Roman"/>
                <w:sz w:val="20"/>
              </w:rPr>
              <w:t>Suma, promedio</w:t>
            </w:r>
          </w:p>
        </w:tc>
        <w:tc>
          <w:tcPr>
            <w:tcW w:type="dxa" w:w="1872"/>
          </w:tcPr>
          <w:p>
            <w:pPr>
              <w:spacing w:line="276" w:lineRule="auto"/>
            </w:pPr>
            <w:r/>
            <w:r>
              <w:rPr>
                <w:rFonts w:ascii="Times New Roman" w:hAnsi="Times New Roman"/>
                <w:sz w:val="20"/>
              </w:rPr>
              <w:t>Mide el alcance poblacional de cada orden</w:t>
            </w:r>
          </w:p>
        </w:tc>
      </w:tr>
      <w:tr>
        <w:tc>
          <w:tcPr>
            <w:tcW w:type="dxa" w:w="1872"/>
          </w:tcPr>
          <w:p>
            <w:pPr>
              <w:spacing w:line="276" w:lineRule="auto"/>
            </w:pPr>
            <w:r/>
            <w:r>
              <w:rPr>
                <w:rFonts w:ascii="Times New Roman" w:hAnsi="Times New Roman"/>
                <w:sz w:val="20"/>
              </w:rPr>
              <w:t>Estado de la orden</w:t>
            </w:r>
          </w:p>
        </w:tc>
        <w:tc>
          <w:tcPr>
            <w:tcW w:type="dxa" w:w="1872"/>
          </w:tcPr>
          <w:p>
            <w:pPr>
              <w:spacing w:line="276" w:lineRule="auto"/>
            </w:pPr>
            <w:r/>
            <w:r>
              <w:rPr>
                <w:rFonts w:ascii="Times New Roman" w:hAnsi="Times New Roman"/>
                <w:sz w:val="20"/>
              </w:rPr>
              <w:t>Categórica ordinal</w:t>
            </w:r>
          </w:p>
        </w:tc>
        <w:tc>
          <w:tcPr>
            <w:tcW w:type="dxa" w:w="1872"/>
          </w:tcPr>
          <w:p>
            <w:pPr>
              <w:spacing w:line="276" w:lineRule="auto"/>
            </w:pPr>
            <w:r/>
            <w:r>
              <w:rPr>
                <w:rFonts w:ascii="Times New Roman" w:hAnsi="Times New Roman"/>
                <w:sz w:val="20"/>
              </w:rPr>
              <w:t>Matriz ARL</w:t>
            </w:r>
          </w:p>
        </w:tc>
        <w:tc>
          <w:tcPr>
            <w:tcW w:type="dxa" w:w="1872"/>
          </w:tcPr>
          <w:p>
            <w:pPr>
              <w:spacing w:line="276" w:lineRule="auto"/>
            </w:pPr>
            <w:r/>
            <w:r>
              <w:rPr>
                <w:rFonts w:ascii="Times New Roman" w:hAnsi="Times New Roman"/>
                <w:sz w:val="20"/>
              </w:rPr>
              <w:t>Frecuencia por estado</w:t>
            </w:r>
          </w:p>
        </w:tc>
        <w:tc>
          <w:tcPr>
            <w:tcW w:type="dxa" w:w="1872"/>
          </w:tcPr>
          <w:p>
            <w:pPr>
              <w:spacing w:line="276" w:lineRule="auto"/>
            </w:pPr>
            <w:r/>
            <w:r>
              <w:rPr>
                <w:rFonts w:ascii="Times New Roman" w:hAnsi="Times New Roman"/>
                <w:sz w:val="20"/>
              </w:rPr>
              <w:t>KPI central: tasa de cumplimiento, embudo de gestión</w:t>
            </w:r>
          </w:p>
        </w:tc>
      </w:tr>
      <w:tr>
        <w:tc>
          <w:tcPr>
            <w:tcW w:type="dxa" w:w="1872"/>
          </w:tcPr>
          <w:p>
            <w:pPr>
              <w:spacing w:line="276" w:lineRule="auto"/>
            </w:pPr>
            <w:r/>
            <w:r>
              <w:rPr>
                <w:rFonts w:ascii="Times New Roman" w:hAnsi="Times New Roman"/>
                <w:sz w:val="20"/>
              </w:rPr>
              <w:t>Valor facturado</w:t>
            </w:r>
          </w:p>
        </w:tc>
        <w:tc>
          <w:tcPr>
            <w:tcW w:type="dxa" w:w="1872"/>
          </w:tcPr>
          <w:p>
            <w:pPr>
              <w:spacing w:line="276" w:lineRule="auto"/>
            </w:pPr>
            <w:r/>
            <w:r>
              <w:rPr>
                <w:rFonts w:ascii="Times New Roman" w:hAnsi="Times New Roman"/>
                <w:sz w:val="20"/>
              </w:rPr>
              <w:t>Cuantitativa continua</w:t>
            </w:r>
          </w:p>
        </w:tc>
        <w:tc>
          <w:tcPr>
            <w:tcW w:type="dxa" w:w="1872"/>
          </w:tcPr>
          <w:p>
            <w:pPr>
              <w:spacing w:line="276" w:lineRule="auto"/>
            </w:pPr>
            <w:r/>
            <w:r>
              <w:rPr>
                <w:rFonts w:ascii="Times New Roman" w:hAnsi="Times New Roman"/>
                <w:sz w:val="20"/>
              </w:rPr>
              <w:t>Tarifario SYSO</w:t>
            </w:r>
          </w:p>
        </w:tc>
        <w:tc>
          <w:tcPr>
            <w:tcW w:type="dxa" w:w="1872"/>
          </w:tcPr>
          <w:p>
            <w:pPr>
              <w:spacing w:line="276" w:lineRule="auto"/>
            </w:pPr>
            <w:r/>
            <w:r>
              <w:rPr>
                <w:rFonts w:ascii="Times New Roman" w:hAnsi="Times New Roman"/>
                <w:sz w:val="20"/>
              </w:rPr>
              <w:t>Suma, promedio</w:t>
            </w:r>
          </w:p>
        </w:tc>
        <w:tc>
          <w:tcPr>
            <w:tcW w:type="dxa" w:w="1872"/>
          </w:tcPr>
          <w:p>
            <w:pPr>
              <w:spacing w:line="276" w:lineRule="auto"/>
            </w:pPr>
            <w:r/>
            <w:r>
              <w:rPr>
                <w:rFonts w:ascii="Times New Roman" w:hAnsi="Times New Roman"/>
                <w:sz w:val="20"/>
              </w:rPr>
              <w:t>Base de los KPIs de ingresos y cartera</w:t>
            </w:r>
          </w:p>
        </w:tc>
      </w:tr>
      <w:tr>
        <w:tc>
          <w:tcPr>
            <w:tcW w:type="dxa" w:w="1872"/>
          </w:tcPr>
          <w:p>
            <w:pPr>
              <w:spacing w:line="276" w:lineRule="auto"/>
            </w:pPr>
            <w:r/>
            <w:r>
              <w:rPr>
                <w:rFonts w:ascii="Times New Roman" w:hAnsi="Times New Roman"/>
                <w:sz w:val="20"/>
              </w:rPr>
              <w:t>Responsable</w:t>
            </w:r>
          </w:p>
        </w:tc>
        <w:tc>
          <w:tcPr>
            <w:tcW w:type="dxa" w:w="1872"/>
          </w:tcPr>
          <w:p>
            <w:pPr>
              <w:spacing w:line="276" w:lineRule="auto"/>
            </w:pPr>
            <w:r/>
            <w:r>
              <w:rPr>
                <w:rFonts w:ascii="Times New Roman" w:hAnsi="Times New Roman"/>
                <w:sz w:val="20"/>
              </w:rPr>
              <w:t>Categórica nominal</w:t>
            </w:r>
          </w:p>
        </w:tc>
        <w:tc>
          <w:tcPr>
            <w:tcW w:type="dxa" w:w="1872"/>
          </w:tcPr>
          <w:p>
            <w:pPr>
              <w:spacing w:line="276" w:lineRule="auto"/>
            </w:pPr>
            <w:r/>
            <w:r>
              <w:rPr>
                <w:rFonts w:ascii="Times New Roman" w:hAnsi="Times New Roman"/>
                <w:sz w:val="20"/>
              </w:rPr>
              <w:t>Registro interno</w:t>
            </w:r>
          </w:p>
        </w:tc>
        <w:tc>
          <w:tcPr>
            <w:tcW w:type="dxa" w:w="1872"/>
          </w:tcPr>
          <w:p>
            <w:pPr>
              <w:spacing w:line="276" w:lineRule="auto"/>
            </w:pPr>
            <w:r/>
            <w:r>
              <w:rPr>
                <w:rFonts w:ascii="Times New Roman" w:hAnsi="Times New Roman"/>
                <w:sz w:val="20"/>
              </w:rPr>
              <w:t>Frecuencia por profesional</w:t>
            </w:r>
          </w:p>
        </w:tc>
        <w:tc>
          <w:tcPr>
            <w:tcW w:type="dxa" w:w="1872"/>
          </w:tcPr>
          <w:p>
            <w:pPr>
              <w:spacing w:line="276" w:lineRule="auto"/>
            </w:pPr>
            <w:r/>
            <w:r>
              <w:rPr>
                <w:rFonts w:ascii="Times New Roman" w:hAnsi="Times New Roman"/>
                <w:sz w:val="20"/>
              </w:rPr>
              <w:t>Permite análisis de carga de trabajo por profesional</w:t>
            </w:r>
          </w:p>
        </w:tc>
      </w:tr>
      <w:tr>
        <w:tc>
          <w:tcPr>
            <w:tcW w:type="dxa" w:w="1872"/>
          </w:tcPr>
          <w:p>
            <w:pPr>
              <w:spacing w:line="276" w:lineRule="auto"/>
            </w:pPr>
            <w:r/>
            <w:r>
              <w:rPr>
                <w:rFonts w:ascii="Times New Roman" w:hAnsi="Times New Roman"/>
                <w:sz w:val="20"/>
              </w:rPr>
              <w:t>Fecha de ejecución</w:t>
            </w:r>
          </w:p>
        </w:tc>
        <w:tc>
          <w:tcPr>
            <w:tcW w:type="dxa" w:w="1872"/>
          </w:tcPr>
          <w:p>
            <w:pPr>
              <w:spacing w:line="276" w:lineRule="auto"/>
            </w:pPr>
            <w:r/>
            <w:r>
              <w:rPr>
                <w:rFonts w:ascii="Times New Roman" w:hAnsi="Times New Roman"/>
                <w:sz w:val="20"/>
              </w:rPr>
              <w:t>Cuantitativa continua (fecha)</w:t>
            </w:r>
          </w:p>
        </w:tc>
        <w:tc>
          <w:tcPr>
            <w:tcW w:type="dxa" w:w="1872"/>
          </w:tcPr>
          <w:p>
            <w:pPr>
              <w:spacing w:line="276" w:lineRule="auto"/>
            </w:pPr>
            <w:r/>
            <w:r>
              <w:rPr>
                <w:rFonts w:ascii="Times New Roman" w:hAnsi="Times New Roman"/>
                <w:sz w:val="20"/>
              </w:rPr>
              <w:t>Registro operativo</w:t>
            </w:r>
          </w:p>
        </w:tc>
        <w:tc>
          <w:tcPr>
            <w:tcW w:type="dxa" w:w="1872"/>
          </w:tcPr>
          <w:p>
            <w:pPr>
              <w:spacing w:line="276" w:lineRule="auto"/>
            </w:pPr>
            <w:r/>
            <w:r>
              <w:rPr>
                <w:rFonts w:ascii="Times New Roman" w:hAnsi="Times New Roman"/>
                <w:sz w:val="20"/>
              </w:rPr>
              <w:t>Diferencia con fecha registro</w:t>
            </w:r>
          </w:p>
        </w:tc>
        <w:tc>
          <w:tcPr>
            <w:tcW w:type="dxa" w:w="1872"/>
          </w:tcPr>
          <w:p>
            <w:pPr>
              <w:spacing w:line="276" w:lineRule="auto"/>
            </w:pPr>
            <w:r/>
            <w:r>
              <w:rPr>
                <w:rFonts w:ascii="Times New Roman" w:hAnsi="Times New Roman"/>
                <w:sz w:val="20"/>
              </w:rPr>
              <w:t>KPI: días registro → ejecución; identifica retrasos operativos</w:t>
            </w:r>
          </w:p>
        </w:tc>
      </w:tr>
      <w:tr>
        <w:tc>
          <w:tcPr>
            <w:tcW w:type="dxa" w:w="1872"/>
          </w:tcPr>
          <w:p>
            <w:pPr>
              <w:spacing w:line="276" w:lineRule="auto"/>
            </w:pPr>
            <w:r/>
            <w:r>
              <w:rPr>
                <w:rFonts w:ascii="Times New Roman" w:hAnsi="Times New Roman"/>
                <w:sz w:val="20"/>
              </w:rPr>
              <w:t>Fecha de facturación</w:t>
            </w:r>
          </w:p>
        </w:tc>
        <w:tc>
          <w:tcPr>
            <w:tcW w:type="dxa" w:w="1872"/>
          </w:tcPr>
          <w:p>
            <w:pPr>
              <w:spacing w:line="276" w:lineRule="auto"/>
            </w:pPr>
            <w:r/>
            <w:r>
              <w:rPr>
                <w:rFonts w:ascii="Times New Roman" w:hAnsi="Times New Roman"/>
                <w:sz w:val="20"/>
              </w:rPr>
              <w:t>Cuantitativa continua (fecha)</w:t>
            </w:r>
          </w:p>
        </w:tc>
        <w:tc>
          <w:tcPr>
            <w:tcW w:type="dxa" w:w="1872"/>
          </w:tcPr>
          <w:p>
            <w:pPr>
              <w:spacing w:line="276" w:lineRule="auto"/>
            </w:pPr>
            <w:r/>
            <w:r>
              <w:rPr>
                <w:rFonts w:ascii="Times New Roman" w:hAnsi="Times New Roman"/>
                <w:sz w:val="20"/>
              </w:rPr>
              <w:t>Registro financiero</w:t>
            </w:r>
          </w:p>
        </w:tc>
        <w:tc>
          <w:tcPr>
            <w:tcW w:type="dxa" w:w="1872"/>
          </w:tcPr>
          <w:p>
            <w:pPr>
              <w:spacing w:line="276" w:lineRule="auto"/>
            </w:pPr>
            <w:r/>
            <w:r>
              <w:rPr>
                <w:rFonts w:ascii="Times New Roman" w:hAnsi="Times New Roman"/>
                <w:sz w:val="20"/>
              </w:rPr>
              <w:t>Diferencia con fecha ejecución</w:t>
            </w:r>
          </w:p>
        </w:tc>
        <w:tc>
          <w:tcPr>
            <w:tcW w:type="dxa" w:w="1872"/>
          </w:tcPr>
          <w:p>
            <w:pPr>
              <w:spacing w:line="276" w:lineRule="auto"/>
            </w:pPr>
            <w:r/>
            <w:r>
              <w:rPr>
                <w:rFonts w:ascii="Times New Roman" w:hAnsi="Times New Roman"/>
                <w:sz w:val="20"/>
              </w:rPr>
              <w:t>KPI central Tabla 1: días ejecución → facturación; riesgo de glosas</w:t>
            </w:r>
          </w:p>
        </w:tc>
      </w:tr>
    </w:tbl>
    <w:p/>
    <w:p>
      <w:r/>
      <w:r>
        <w:rPr>
          <w:b/>
        </w:rPr>
        <w:t>Los 10 estados del flujo operativo</w:t>
      </w:r>
      <w:r>
        <w:t xml:space="preserve"> (variable "Estado de la orden") siguen el siguiente orden lógico:</w:t>
      </w:r>
    </w:p>
    <w:p>
      <w:pPr>
        <w:spacing w:line="240" w:lineRule="auto"/>
        <w:ind w:left="567"/>
      </w:pPr>
      <w:r>
        <w:rPr>
          <w:rFonts w:ascii="Courier New" w:hAnsi="Courier New"/>
          <w:sz w:val="18"/>
        </w:rPr>
        <w:t>Recibida → Aceptada → Programada/Asignada → En Ejecución</w:t>
        <w:br/>
        <w:t xml:space="preserve">    → Ejecutada → Soportes Radicados → Facturada</w:t>
        <w:br/>
        <w:t xml:space="preserve">    </w:t>
        <w:br/>
        <w:t>Estados de cierre sin ingreso: Rechazada · Reemplazada · Cancelada</w:t>
      </w:r>
    </w:p>
    <w:p>
      <w:pPr>
        <w:pStyle w:val="Heading2"/>
      </w:pPr>
      <w:r>
        <w:t>3.5 Fases del Proyecto (Adaptación CRISP-DM)</w:t>
      </w:r>
    </w:p>
    <w:p>
      <w:pPr>
        <w:pStyle w:val="Heading3"/>
      </w:pPr>
      <w:r>
        <w:t>3.5.1 Comprensión del Negocio</w:t>
      </w:r>
    </w:p>
    <w:p>
      <w:pPr>
        <w:pStyle w:val="ListBullet"/>
      </w:pPr>
      <w:r>
        <w:t>Identificación de los objetivos estratégicos y operativos de la IPS mediante entrevistas con el Analista Administrativo y el Director de Gestión ARL.</w:t>
      </w:r>
    </w:p>
    <w:p>
      <w:pPr>
        <w:pStyle w:val="ListBullet"/>
      </w:pPr>
      <w:r>
        <w:t>Definición de los KPIs relevantes para la gerencia: total órdenes, ingresos, cumplimiento, cartera sin facturar y tiempo de facturación.</w:t>
      </w:r>
    </w:p>
    <w:p>
      <w:pPr>
        <w:pStyle w:val="ListBullet"/>
      </w:pPr>
      <w:r>
        <w:t>Resultado: árbol del problema, preguntas de investigación y objetivos específicos (Capítulo 1).</w:t>
      </w:r>
    </w:p>
    <w:p>
      <w:pPr>
        <w:pStyle w:val="Heading3"/>
      </w:pPr>
      <w:r>
        <w:t>3.5.2 Comprensión de los Datos</w:t>
      </w:r>
    </w:p>
    <w:p>
      <w:pPr>
        <w:pStyle w:val="ListBullet"/>
      </w:pPr>
      <w:r>
        <w:t>Revisión de la Matriz de Gestión ARL 2026 (45.000 registros).</w:t>
      </w:r>
    </w:p>
    <w:p>
      <w:pPr>
        <w:pStyle w:val="ListBullet"/>
      </w:pPr>
      <w:r>
        <w:t>Identificación de calidad de datos: campos incompletos, registros duplicados, fechas inconsistentes.</w:t>
      </w:r>
    </w:p>
    <w:p>
      <w:pPr>
        <w:pStyle w:val="ListBullet"/>
      </w:pPr>
      <w:r>
        <w:t>Resultado: modelo unificado de datos con 13 variables documentadas (tabla 3.4 de este capítulo).</w:t>
      </w:r>
    </w:p>
    <w:p>
      <w:pPr>
        <w:pStyle w:val="Heading3"/>
      </w:pPr>
      <w:r>
        <w:t>3.5.3 Preparación de los Datos (ETL)</w:t>
      </w:r>
    </w:p>
    <w:p>
      <w:pPr>
        <w:pStyle w:val="ListBullet"/>
      </w:pPr>
      <w:r>
        <w:t>Depuración, estandarización y consolidación de los datos.</w:t>
      </w:r>
    </w:p>
    <w:p>
      <w:pPr>
        <w:pStyle w:val="ListBullet"/>
      </w:pPr>
      <w:r>
        <w:t>Resultado: repositorio en memoria con patrón Repository/DAO, cargable desde Excel .xlsx.</w:t>
      </w:r>
    </w:p>
    <w:p>
      <w:pPr>
        <w:pStyle w:val="Heading3"/>
      </w:pPr>
      <w:r>
        <w:t>3.5.4 Modelado</w:t>
      </w:r>
    </w:p>
    <w:p>
      <w:pPr>
        <w:pStyle w:val="ListBullet"/>
      </w:pPr>
      <w:r>
        <w:t>Implementación de los 6 KPIs con sus fórmulas de cálculo.</w:t>
      </w:r>
    </w:p>
    <w:p>
      <w:pPr>
        <w:pStyle w:val="ListBullet"/>
      </w:pPr>
      <w:r>
        <w:t>Regresión lineal OLS para proyección de ingresos a 6 meses.</w:t>
      </w:r>
    </w:p>
    <w:p>
      <w:pPr>
        <w:pStyle w:val="ListBullet"/>
      </w:pPr>
      <w:r>
        <w:t>Resultado: servicio de negocio (`DashboardService`) con 10 métodos analíticos.</w:t>
      </w:r>
    </w:p>
    <w:p>
      <w:pPr>
        <w:pStyle w:val="Heading3"/>
      </w:pPr>
      <w:r>
        <w:t>3.5.5 Evaluación</w:t>
      </w:r>
    </w:p>
    <w:p>
      <w:pPr>
        <w:pStyle w:val="ListBullet"/>
      </w:pPr>
      <w:r>
        <w:t>Validación de KPIs con el personal administrativo de la IPS.</w:t>
      </w:r>
    </w:p>
    <w:p>
      <w:pPr>
        <w:pStyle w:val="ListBullet"/>
      </w:pPr>
      <w:r>
        <w:t>Verificación de la coherencia de resultados con los datos históricos conocidos.</w:t>
      </w:r>
    </w:p>
    <w:p>
      <w:pPr>
        <w:pStyle w:val="ListBullet"/>
      </w:pPr>
      <w:r>
        <w:t>Resultado: ajuste de umbrales de alerta (30 días para facturación).</w:t>
      </w:r>
    </w:p>
    <w:p>
      <w:pPr>
        <w:pStyle w:val="Heading3"/>
      </w:pPr>
      <w:r>
        <w:t>3.5.6 Despliegue</w:t>
      </w:r>
    </w:p>
    <w:p>
      <w:pPr>
        <w:pStyle w:val="ListBullet"/>
      </w:pPr>
      <w:r>
        <w:t>Publicación del tablero en Render.com con CI/CD automático desde GitHub.</w:t>
      </w:r>
    </w:p>
    <w:p>
      <w:pPr>
        <w:pStyle w:val="ListBullet"/>
      </w:pPr>
      <w:r>
        <w:t>URL de producción: https://syso-bi-dashboard.onrender.com</w:t>
      </w:r>
    </w:p>
    <w:p>
      <w:pPr>
        <w:pStyle w:val="ListBullet"/>
      </w:pPr>
      <w:r>
        <w:t>Resultado: tablero operativo accesible desde cualquier navegador, sin instalación.</w:t>
      </w:r>
    </w:p>
    <w:p>
      <w:pPr>
        <w:pStyle w:val="Heading2"/>
      </w:pPr>
      <w:r>
        <w:t>3.6 Proceso ETL — Extracción, Transformación y Carga</w:t>
      </w:r>
    </w:p>
    <w:p>
      <w:pPr>
        <w:pStyle w:val="Heading3"/>
      </w:pPr>
      <w:r>
        <w:t>3.6.1 Diagrama de Flujo ETL</w:t>
      </w:r>
    </w:p>
    <w:p>
      <w:pPr>
        <w:spacing w:line="240" w:lineRule="auto"/>
        <w:ind w:left="567"/>
      </w:pPr>
      <w:r>
        <w:rPr>
          <w:rFonts w:ascii="Courier New" w:hAnsi="Courier New"/>
          <w:sz w:val="18"/>
        </w:rPr>
        <w:t>┌─────────────────────────────────────────────────────────────┐</w:t>
        <w:br/>
        <w:t>│                     FUENTES DE DATOS                        │</w:t>
        <w:br/>
        <w:t>│  Matriz ARL (.xlsx)  │  Portales ARL  │  Registros internos │</w:t>
        <w:br/>
        <w:t>└──────────┬──────────────────┬─────────────────┬─────────────┘</w:t>
        <w:br/>
        <w:t xml:space="preserve">           │                  │                 │</w:t>
        <w:br/>
        <w:t xml:space="preserve">           ▼                  ▼                 ▼</w:t>
        <w:br/>
        <w:t>┌─────────────────────────────────────────────────────────────┐</w:t>
        <w:br/>
        <w:t>│                   EXTRACCIÓN (E)                            │</w:t>
        <w:br/>
        <w:t>│  • Carga del archivo .xlsx mediante openpyxl               │</w:t>
        <w:br/>
        <w:t>│  • Lectura fila a fila desde la fila 2 (encabezado en f.1) │</w:t>
        <w:br/>
        <w:t>│  • Validación de existencia y tipo de archivo              │</w:t>
        <w:br/>
        <w:t>└──────────────────────────┬──────────────────────────────────┘</w:t>
        <w:br/>
        <w:t xml:space="preserve">                           │</w:t>
        <w:br/>
        <w:t xml:space="preserve">                           ▼</w:t>
        <w:br/>
        <w:t>┌─────────────────────────────────────────────────────────────┐</w:t>
        <w:br/>
        <w:t>│                 TRANSFORMACIÓN (T)                          │</w:t>
        <w:br/>
        <w:t>│  • Conversión de fechas ISO (YYYY-MM-DD)                   │</w:t>
        <w:br/>
        <w:t>│  • Tipado: str → float (valor), str → int (trabajadores)   │</w:t>
        <w:br/>
        <w:t>│  • Normalización de campos de texto (strip, uppercase)     │</w:t>
        <w:br/>
        <w:t>│  • Validación de estados contra catálogo de 10 estados     │</w:t>
        <w:br/>
        <w:t>│  • Generación de campos derivados:                         │</w:t>
        <w:br/>
        <w:t>│      dias_ejecucion = fecha_ejecucion - fecha_registro     │</w:t>
        <w:br/>
        <w:t>│      dias_facturacion = fecha_facturacion - fecha_ejecucion│</w:t>
        <w:br/>
        <w:t>│  • Manejo de valores nulos: defaults por tipo de campo     │</w:t>
        <w:br/>
        <w:t>└──────────────────────────┬──────────────────────────────────┘</w:t>
        <w:br/>
        <w:t xml:space="preserve">                           │</w:t>
        <w:br/>
        <w:t xml:space="preserve">                           ▼</w:t>
        <w:br/>
        <w:t>┌─────────────────────────────────────────────────────────────┐</w:t>
        <w:br/>
        <w:t>│                      CARGA (L)                              │</w:t>
        <w:br/>
        <w:t>│  • Almacenamiento en repositorio en memoria (lista Python) │</w:t>
        <w:br/>
        <w:t>│  • Patrón Repository/DAO: interfaz abstracta BaseRepository│</w:t>
        <w:br/>
        <w:t>│  • Reemplazo atómico de datos al cargar nuevo archivo      │</w:t>
        <w:br/>
        <w:t>│  • Disponibilidad inmediata para consulta por la API REST  │</w:t>
        <w:br/>
        <w:t>└──────────────────────────┬──────────────────────────────────┘</w:t>
        <w:br/>
        <w:t xml:space="preserve">                           │</w:t>
        <w:br/>
        <w:t xml:space="preserve">                           ▼</w:t>
        <w:br/>
        <w:t>┌─────────────────────────────────────────────────────────────┐</w:t>
        <w:br/>
        <w:t>│               CAPA DE SERVICIO Y ANÁLISIS                   │</w:t>
        <w:br/>
        <w:t>│  DashboardService: filtrado, KPIs, agrupaciones, regresión │</w:t>
        <w:br/>
        <w:t>└──────────────────────────┬──────────────────────────────────┘</w:t>
        <w:br/>
        <w:t xml:space="preserve">                           │</w:t>
        <w:br/>
        <w:t xml:space="preserve">                           ▼</w:t>
        <w:br/>
        <w:t>┌─────────────────────────────────────────────────────────────┐</w:t>
        <w:br/>
        <w:t>│                  API REST (Flask)                           │</w:t>
        <w:br/>
        <w:t>│  GET /api/datos → JSON con órdenes, KPIs, gráficos         │</w:t>
        <w:br/>
        <w:t>└──────────────────────────┬──────────────────────────────────┘</w:t>
        <w:br/>
        <w:t xml:space="preserve">                           │</w:t>
        <w:br/>
        <w:t xml:space="preserve">                           ▼</w:t>
        <w:br/>
        <w:t>┌─────────────────────────────────────────────────────────────┐</w:t>
        <w:br/>
        <w:t>│              TABLERO WEB (HTML/JS/Chart.js)                 │</w:t>
        <w:br/>
        <w:t>│  Visualización en tiempo real desde el navegador           │</w:t>
        <w:br/>
        <w:t>└─────────────────────────────────────────────────────────────┘</w:t>
      </w:r>
    </w:p>
    <w:p>
      <w:pPr>
        <w:pStyle w:val="Heading3"/>
      </w:pPr>
      <w:r>
        <w:t>3.6.2 Descripción del Proceso</w:t>
      </w:r>
    </w:p>
    <w:p>
      <w:r/>
      <w:r>
        <w:rPr>
          <w:b/>
        </w:rPr>
        <w:t>Extracción:</w:t>
      </w:r>
      <w:r>
        <w:t xml:space="preserve"> Los datos se obtienen del archivo Excel de la Matriz ARL mediante la librería `openpyxl`. El endpoint `/gestion/upload` recibe el archivo .xlsx, lo procesa en memoria y lo carga al repositorio activo sin necesidad de base de datos externa.</w:t>
      </w:r>
    </w:p>
    <w:p>
      <w:r/>
      <w:r>
        <w:rPr>
          <w:b/>
        </w:rPr>
        <w:t>Transformación:</w:t>
      </w:r>
      <w:r>
        <w:t xml:space="preserve"> Cada fila se convierte en un objeto `Orden` (dataclass Python) con validación de tipos. Las fechas se parsean en formato ISO 8601, los valores numéricos se convierten con manejo de nulos, y los campos de texto se normalizan eliminando espacios. Los campos `fecha_ejecucion` y `fecha_facturacion` son opcionales y se procesan condicionalmente según el estado de la orden.³</w:t>
      </w:r>
    </w:p>
    <w:p>
      <w:r/>
      <w:r>
        <w:rPr>
          <w:b/>
        </w:rPr>
        <w:t>Carga:</w:t>
      </w:r>
      <w:r>
        <w:t xml:space="preserve"> Las órdenes transformadas se almacenan en una lista Python gestionada por el `FakeDataRepository` (entorno de demostración) o por un repositorio real conectado a la Matriz ARL. El patrón Repository/DAO permite intercambiar la fuente de datos (Excel, MySQL, PostgreSQL) sin modificar la lógica de negocio.</w:t>
      </w:r>
    </w:p>
    <w:p>
      <w:pPr>
        <w:ind w:left="720"/>
      </w:pPr>
      <w:r>
        <w:rPr>
          <w:i/>
          <w:sz w:val="20"/>
        </w:rPr>
        <w:t xml:space="preserve">³ </w:t>
      </w:r>
      <w:r>
        <w:rPr>
          <w:b/>
          <w:i/>
          <w:sz w:val="20"/>
        </w:rPr>
        <w:t>Nota al pie (Word):</w:t>
      </w:r>
      <w:r>
        <w:rPr>
          <w:i/>
          <w:sz w:val="20"/>
        </w:rPr>
        <w:t xml:space="preserve"> La arquitectura Repository/DAO implementada sigue el principio de inversión de dependencias (SOLID-D), documentado por Martin, R. C. (2003) en </w:t>
      </w:r>
      <w:r>
        <w:rPr>
          <w:i/>
          <w:sz w:val="20"/>
        </w:rPr>
        <w:t>Agile Software Development, Principles, Patterns, and Practices</w:t>
      </w:r>
      <w:r>
        <w:rPr>
          <w:i/>
          <w:sz w:val="20"/>
        </w:rPr>
        <w:t xml:space="preserve"> (Pearson). Este diseño garantiza que la migración de datos de ejemplo a datos reales de producción no requiera cambios en el servicio de negocio ni en el tablero.</w:t>
      </w:r>
    </w:p>
    <w:p>
      <w:pPr>
        <w:pStyle w:val="Heading2"/>
      </w:pPr>
      <w:r>
        <w:t>3.7 Métodos Analíticos</w:t>
      </w:r>
    </w:p>
    <w:p>
      <w:pPr>
        <w:pStyle w:val="Heading3"/>
      </w:pPr>
      <w:r>
        <w:t>3.7.1 Analítica Descriptiva — KPIs e Indicadores</w:t>
      </w:r>
    </w:p>
    <w:p>
      <w:r>
        <w:t>Se aplica analítica descriptiva sobre el conjunto de órdenes filtradas para calcular los 6 KPIs del tablero. Este método responde a las preguntas de investigación 1 y 2 del Capítulo 1: ¿cómo integrar la información dispersa? y ¿qué variables permiten identificar retrasos e inconsistencias?</w:t>
      </w:r>
    </w:p>
    <w:p>
      <w:r/>
      <w:r>
        <w:rPr>
          <w:b/>
        </w:rPr>
        <w:t>Justificación:</w:t>
      </w:r>
      <w:r>
        <w:t xml:space="preserve"> La analítica descriptiva es el nivel más adecuado para el diagnóstico operativo de una IPS que está migrando de hojas de cálculo a un sistema BI. Proporciona visibilidad inmediata sin requerir grandes volúmenes de datos etiquetados.</w:t>
      </w:r>
    </w:p>
    <w:p>
      <w:pPr>
        <w:pStyle w:val="Heading3"/>
      </w:pPr>
      <w:r>
        <w:t>3.7.2 Analítica Descriptiva — Agrupaciones y Gráficos</w:t>
      </w:r>
    </w:p>
    <w:p>
      <w:r>
        <w:t>Se generan cuatro tipos de agrupaciones: por ARL (distribución de estados), por mes (evolución temporal), por tipo de servicio (composición del portafolio) e ingresos por ARL (concentración financiera). Estas agrupaciones se visualizan mediante gráficos interactivos construidos con Chart.js (versión 4.4.1) en el frontend.⁴</w:t>
      </w:r>
    </w:p>
    <w:p>
      <w:pPr>
        <w:ind w:left="720"/>
      </w:pPr>
      <w:r>
        <w:rPr>
          <w:i/>
          <w:sz w:val="20"/>
        </w:rPr>
        <w:t xml:space="preserve">⁴ </w:t>
      </w:r>
      <w:r>
        <w:rPr>
          <w:b/>
          <w:i/>
          <w:sz w:val="20"/>
        </w:rPr>
        <w:t>Nota al pie (Word):</w:t>
      </w:r>
      <w:r>
        <w:rPr>
          <w:i/>
          <w:sz w:val="20"/>
        </w:rPr>
        <w:t xml:space="preserve"> Chart.js es una librería de visualización JavaScript de código abierto con más de 60.000 estrellas en GitHub. Su elección responde a la necesidad de visualizaciones interactivas sin dependencias de servidor adicionales, compatible con el entorno Flask/Jinja2. Disponible en https://www.chartjs.org</w:t>
      </w:r>
    </w:p>
    <w:p>
      <w:pPr>
        <w:pStyle w:val="Heading3"/>
      </w:pPr>
      <w:r>
        <w:t>3.7.3 Analítica Predictiva — Regresión Lineal Simple (OLS)</w:t>
      </w:r>
    </w:p>
    <w:p>
      <w:r>
        <w:t>Se aplica regresión lineal por mínimos cuadrados ordinarios para proyectar los ingresos mensuales por ARL para los próximos 6 meses. Este método responde a la pregunta de investigación 4: ¿qué diseño de tablero permite visualizar indicadores críticos de manera efectiva?</w:t>
      </w:r>
    </w:p>
    <w:p>
      <w:r/>
      <w:r>
        <w:rPr>
          <w:b/>
        </w:rPr>
        <w:t>Justificación de la elección:</w:t>
      </w:r>
      <w:r>
        <w:t xml:space="preserve"> La regresión lineal simple fue seleccionada por tres razones: (1) los datos de ingresos mensuales muestran tendencias aproximadamente lineales con estacionalidad leve; (2) el modelo es interpretable por el equipo administrativo sin conocimientos estadísticos avanzados; y (3) su implementación en Python puro (sin librerías externas) garantiza portabilidad y minimiza dependencias en el entorno de despliegue.⁵</w:t>
      </w:r>
    </w:p>
    <w:p>
      <w:r/>
      <w:r>
        <w:rPr>
          <w:b/>
        </w:rPr>
        <w:t>Fórmula implementada:</w:t>
      </w:r>
      <w:r/>
    </w:p>
    <w:p>
      <w:pPr>
        <w:spacing w:line="240" w:lineRule="auto"/>
        <w:ind w:left="567"/>
      </w:pPr>
      <w:r>
        <w:rPr>
          <w:rFonts w:ascii="Courier New" w:hAnsi="Courier New"/>
          <w:sz w:val="18"/>
        </w:rPr>
        <w:t>b₁ = (n·Σxy − Σx·Σy) / (n·Σx² − (Σx)²)</w:t>
        <w:br/>
        <w:t>b₀ = (Σy − b₁·Σx) / n</w:t>
        <w:br/>
        <w:t>ŷ[i] = max(0, b₀ + b₁ · i)</w:t>
      </w:r>
    </w:p>
    <w:p>
      <w:r>
        <w:t>Donde x representa el índice de mes (0, 1, 2, ..., n-1) e y los ingresos reales de cada mes.</w:t>
      </w:r>
    </w:p>
    <w:p>
      <w:pPr>
        <w:ind w:left="720"/>
      </w:pPr>
      <w:r>
        <w:rPr>
          <w:i/>
          <w:sz w:val="20"/>
        </w:rPr>
        <w:t xml:space="preserve">⁵ </w:t>
      </w:r>
      <w:r>
        <w:rPr>
          <w:b/>
          <w:i/>
          <w:sz w:val="20"/>
        </w:rPr>
        <w:t>Nota al pie (Word):</w:t>
      </w:r>
      <w:r>
        <w:rPr>
          <w:i/>
          <w:sz w:val="20"/>
        </w:rPr>
        <w:t xml:space="preserve"> Montgomery, D. C., Peck, E. A., &amp; Vining, G. G. (2012). </w:t>
      </w:r>
      <w:r>
        <w:rPr>
          <w:i/>
          <w:sz w:val="20"/>
        </w:rPr>
        <w:t>Introduction to linear regression analysis</w:t>
      </w:r>
      <w:r>
        <w:rPr>
          <w:i/>
          <w:sz w:val="20"/>
        </w:rPr>
        <w:t xml:space="preserve"> (5.ª ed.). Wiley. La restricción `max(0, ŷ)` garantiza que las proyecciones no generen valores negativos, lo cual carecería de sentido económico en el contexto de ingresos por servicios de salud.</w:t>
      </w:r>
    </w:p>
    <w:p>
      <w:pPr>
        <w:pStyle w:val="Heading3"/>
      </w:pPr>
      <w:r>
        <w:t>3.7.4 Analítica de Tiempos — Ciclo de Gestión</w:t>
      </w:r>
    </w:p>
    <w:p>
      <w:r>
        <w:t>Se calculan tres métricas de tiempo para cada orden con fechas registradas:</w:t>
      </w:r>
    </w:p>
    <w:p>
      <w:pPr>
        <w:pStyle w:val="ListBullet"/>
      </w:pPr>
      <w:r/>
      <w:r>
        <w:rPr>
          <w:b/>
        </w:rPr>
        <w:t>Días registro → ejecución:</w:t>
      </w:r>
      <w:r>
        <w:t xml:space="preserve"> mide la agilidad operativa</w:t>
      </w:r>
    </w:p>
    <w:p>
      <w:pPr>
        <w:pStyle w:val="ListBullet"/>
      </w:pPr>
      <w:r/>
      <w:r>
        <w:rPr>
          <w:b/>
        </w:rPr>
        <w:t>Días ejecución → facturación:</w:t>
      </w:r>
      <w:r>
        <w:t xml:space="preserve"> KPI central de la Tabla 1 del documento; mide la agilidad administrativa</w:t>
      </w:r>
    </w:p>
    <w:p>
      <w:pPr>
        <w:pStyle w:val="ListBullet"/>
      </w:pPr>
      <w:r/>
      <w:r>
        <w:rPr>
          <w:b/>
        </w:rPr>
        <w:t>Días ciclo total:</w:t>
      </w:r>
      <w:r>
        <w:t xml:space="preserve"> mide la eficiencia integral del proceso</w:t>
      </w:r>
    </w:p>
    <w:p>
      <w:r>
        <w:t>Estas métricas se agregan a nivel global y por ARL, generando estadísticas de promedio, mínimo y máximo para identificar las administradoras con mayor rezago en facturación.</w:t>
      </w:r>
    </w:p>
    <w:p>
      <w:pPr>
        <w:pStyle w:val="Heading2"/>
      </w:pPr>
      <w:r>
        <w:t>3.8 Técnicas de Validación</w:t>
      </w:r>
    </w:p>
    <w:p>
      <w:pPr>
        <w:pStyle w:val="Heading3"/>
      </w:pPr>
      <w:r>
        <w:t>3.8.1 Validación del Modelo Predictivo (Regresión Lineal)</w:t>
      </w:r>
    </w:p>
    <w:p>
      <w:r>
        <w:t>La validación del modelo de regresión se realiza mediante las siguientes métricas sobre los datos históricos disponibles:⁶</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76" w:lineRule="auto"/>
            </w:pPr>
            <w:r/>
            <w:r>
              <w:rPr>
                <w:rFonts w:ascii="Times New Roman" w:hAnsi="Times New Roman"/>
                <w:b/>
                <w:sz w:val="20"/>
              </w:rPr>
              <w:t>Métrica</w:t>
            </w:r>
          </w:p>
        </w:tc>
        <w:tc>
          <w:tcPr>
            <w:tcW w:type="dxa" w:w="1872"/>
          </w:tcPr>
          <w:p>
            <w:pPr>
              <w:spacing w:line="276" w:lineRule="auto"/>
            </w:pPr>
            <w:r/>
            <w:r>
              <w:rPr>
                <w:rFonts w:ascii="Times New Roman" w:hAnsi="Times New Roman"/>
                <w:b/>
                <w:sz w:val="20"/>
              </w:rPr>
              <w:t>Fórmula</w:t>
            </w:r>
          </w:p>
        </w:tc>
        <w:tc>
          <w:tcPr>
            <w:tcW w:type="dxa" w:w="1872"/>
          </w:tcPr>
          <w:p>
            <w:pPr>
              <w:spacing w:line="276" w:lineRule="auto"/>
            </w:pPr>
            <w:r/>
            <w:r>
              <w:rPr>
                <w:rFonts w:ascii="Times New Roman" w:hAnsi="Times New Roman"/>
                <w:b/>
                <w:sz w:val="20"/>
              </w:rPr>
              <w:t>Interpretación</w:t>
            </w:r>
          </w:p>
        </w:tc>
        <w:tc>
          <w:tcPr>
            <w:tcW w:type="dxa" w:w="1872"/>
          </w:tcPr>
          <w:p/>
        </w:tc>
        <w:tc>
          <w:tcPr>
            <w:tcW w:type="dxa" w:w="1872"/>
          </w:tcPr>
          <w:p/>
        </w:tc>
      </w:tr>
      <w:tr>
        <w:tc>
          <w:tcPr>
            <w:tcW w:type="dxa" w:w="1872"/>
          </w:tcPr>
          <w:p>
            <w:pPr>
              <w:spacing w:line="276" w:lineRule="auto"/>
            </w:pPr>
            <w:r/>
            <w:r>
              <w:rPr>
                <w:rFonts w:ascii="Times New Roman" w:hAnsi="Times New Roman"/>
                <w:sz w:val="20"/>
              </w:rPr>
              <w:t>RMSE (Raíz del Error Cuadrático Medio)</w:t>
            </w:r>
          </w:p>
        </w:tc>
        <w:tc>
          <w:tcPr>
            <w:tcW w:type="dxa" w:w="1872"/>
          </w:tcPr>
          <w:p>
            <w:pPr>
              <w:spacing w:line="276" w:lineRule="auto"/>
            </w:pPr>
            <w:r/>
            <w:r>
              <w:rPr>
                <w:rFonts w:ascii="Times New Roman" w:hAnsi="Times New Roman"/>
                <w:sz w:val="20"/>
              </w:rPr>
              <w:t>√(Σ(ŷ−y)²/n)</w:t>
            </w:r>
          </w:p>
        </w:tc>
        <w:tc>
          <w:tcPr>
            <w:tcW w:type="dxa" w:w="1872"/>
          </w:tcPr>
          <w:p>
            <w:pPr>
              <w:spacing w:line="276" w:lineRule="auto"/>
            </w:pPr>
            <w:r/>
            <w:r>
              <w:rPr>
                <w:rFonts w:ascii="Times New Roman" w:hAnsi="Times New Roman"/>
                <w:sz w:val="20"/>
              </w:rPr>
              <w:t>Mide el error promedio en las mismas unidades que los ingresos ($COP)</w:t>
            </w:r>
          </w:p>
        </w:tc>
        <w:tc>
          <w:tcPr>
            <w:tcW w:type="dxa" w:w="1872"/>
          </w:tcPr>
          <w:p/>
        </w:tc>
        <w:tc>
          <w:tcPr>
            <w:tcW w:type="dxa" w:w="1872"/>
          </w:tcPr>
          <w:p/>
        </w:tc>
      </w:tr>
      <w:tr>
        <w:tc>
          <w:tcPr>
            <w:tcW w:type="dxa" w:w="1872"/>
          </w:tcPr>
          <w:p>
            <w:pPr>
              <w:spacing w:line="276" w:lineRule="auto"/>
            </w:pPr>
            <w:r/>
            <w:r>
              <w:rPr>
                <w:rFonts w:ascii="Times New Roman" w:hAnsi="Times New Roman"/>
                <w:sz w:val="20"/>
              </w:rPr>
              <w:t>MAE (Error Absoluto Medio)</w:t>
            </w:r>
          </w:p>
        </w:tc>
        <w:tc>
          <w:tcPr>
            <w:tcW w:type="dxa" w:w="1872"/>
          </w:tcPr>
          <w:p>
            <w:pPr>
              <w:spacing w:line="276" w:lineRule="auto"/>
            </w:pPr>
            <w:r/>
            <w:r>
              <w:rPr>
                <w:rFonts w:ascii="Times New Roman" w:hAnsi="Times New Roman"/>
                <w:sz w:val="20"/>
              </w:rPr>
              <w:t>Σ\</w:t>
            </w:r>
          </w:p>
        </w:tc>
        <w:tc>
          <w:tcPr>
            <w:tcW w:type="dxa" w:w="1872"/>
          </w:tcPr>
          <w:p>
            <w:pPr>
              <w:spacing w:line="276" w:lineRule="auto"/>
            </w:pPr>
            <w:r/>
            <w:r>
              <w:rPr>
                <w:rFonts w:ascii="Times New Roman" w:hAnsi="Times New Roman"/>
                <w:sz w:val="20"/>
              </w:rPr>
              <w:t>ŷ−y\</w:t>
            </w:r>
          </w:p>
        </w:tc>
        <w:tc>
          <w:tcPr>
            <w:tcW w:type="dxa" w:w="1872"/>
          </w:tcPr>
          <w:p>
            <w:pPr>
              <w:spacing w:line="276" w:lineRule="auto"/>
            </w:pPr>
            <w:r/>
            <w:r>
              <w:rPr>
                <w:rFonts w:ascii="Times New Roman" w:hAnsi="Times New Roman"/>
                <w:sz w:val="20"/>
              </w:rPr>
              <w:t>/n</w:t>
            </w:r>
          </w:p>
        </w:tc>
        <w:tc>
          <w:tcPr>
            <w:tcW w:type="dxa" w:w="1872"/>
          </w:tcPr>
          <w:p>
            <w:pPr>
              <w:spacing w:line="276" w:lineRule="auto"/>
            </w:pPr>
            <w:r/>
            <w:r>
              <w:rPr>
                <w:rFonts w:ascii="Times New Roman" w:hAnsi="Times New Roman"/>
                <w:sz w:val="20"/>
              </w:rPr>
              <w:t>Mide el error absoluto promedio; menos sensible a outliers que RMSE</w:t>
            </w:r>
          </w:p>
        </w:tc>
      </w:tr>
      <w:tr>
        <w:tc>
          <w:tcPr>
            <w:tcW w:type="dxa" w:w="1872"/>
          </w:tcPr>
          <w:p>
            <w:pPr>
              <w:spacing w:line="276" w:lineRule="auto"/>
            </w:pPr>
            <w:r/>
            <w:r>
              <w:rPr>
                <w:rFonts w:ascii="Times New Roman" w:hAnsi="Times New Roman"/>
                <w:sz w:val="20"/>
              </w:rPr>
              <w:t>R² (Coeficiente de determinación)</w:t>
            </w:r>
          </w:p>
        </w:tc>
        <w:tc>
          <w:tcPr>
            <w:tcW w:type="dxa" w:w="1872"/>
          </w:tcPr>
          <w:p>
            <w:pPr>
              <w:spacing w:line="276" w:lineRule="auto"/>
            </w:pPr>
            <w:r/>
            <w:r>
              <w:rPr>
                <w:rFonts w:ascii="Times New Roman" w:hAnsi="Times New Roman"/>
                <w:sz w:val="20"/>
              </w:rPr>
              <w:t>1 − SS_res/SS_tot</w:t>
            </w:r>
          </w:p>
        </w:tc>
        <w:tc>
          <w:tcPr>
            <w:tcW w:type="dxa" w:w="1872"/>
          </w:tcPr>
          <w:p>
            <w:pPr>
              <w:spacing w:line="276" w:lineRule="auto"/>
            </w:pPr>
            <w:r/>
            <w:r>
              <w:rPr>
                <w:rFonts w:ascii="Times New Roman" w:hAnsi="Times New Roman"/>
                <w:sz w:val="20"/>
              </w:rPr>
              <w:t>Proporción de varianza explicada por el modelo (0 a 1)</w:t>
            </w:r>
          </w:p>
        </w:tc>
        <w:tc>
          <w:tcPr>
            <w:tcW w:type="dxa" w:w="1872"/>
          </w:tcPr>
          <w:p/>
        </w:tc>
        <w:tc>
          <w:tcPr>
            <w:tcW w:type="dxa" w:w="1872"/>
          </w:tcPr>
          <w:p/>
        </w:tc>
      </w:tr>
    </w:tbl>
    <w:p/>
    <w:p>
      <w:r/>
      <w:r>
        <w:rPr>
          <w:b/>
        </w:rPr>
        <w:t>Procedimiento de validación:</w:t>
      </w:r>
      <w:r>
        <w:t xml:space="preserve"> Se reservan los últimos 3 meses del histórico como conjunto de prueba (holdout), se entrena el modelo con los meses anteriores, y se evalúan las métricas sobre los meses reservados. Este proceso se repite para cada ARL de forma independiente.</w:t>
      </w:r>
    </w:p>
    <w:p>
      <w:pPr>
        <w:ind w:left="720"/>
      </w:pPr>
      <w:r>
        <w:rPr>
          <w:i/>
          <w:sz w:val="20"/>
        </w:rPr>
        <w:t xml:space="preserve">⁶ </w:t>
      </w:r>
      <w:r>
        <w:rPr>
          <w:b/>
          <w:i/>
          <w:sz w:val="20"/>
        </w:rPr>
        <w:t>Nota al pie (Word):</w:t>
      </w:r>
      <w:r>
        <w:rPr>
          <w:i/>
          <w:sz w:val="20"/>
        </w:rPr>
        <w:t xml:space="preserve"> Hastie, T., Tibshirani, R., &amp; Friedman, J. (2009). </w:t>
      </w:r>
      <w:r>
        <w:rPr>
          <w:i/>
          <w:sz w:val="20"/>
        </w:rPr>
        <w:t>The elements of statistical learning: Data mining, inference, and prediction</w:t>
      </w:r>
      <w:r>
        <w:rPr>
          <w:i/>
          <w:sz w:val="20"/>
        </w:rPr>
        <w:t xml:space="preserve"> (2.ª ed.). Springer. Disponible en acceso abierto: https://hastie.su.domains/ElemStatLearn/. Las métricas RMSE y MAE son las más utilizadas para evaluar modelos de regresión en series de tiempo cortas (&lt; 36 puntos).</w:t>
      </w:r>
    </w:p>
    <w:p>
      <w:pPr>
        <w:pStyle w:val="Heading3"/>
      </w:pPr>
      <w:r>
        <w:t>3.8.2 Validación Funcional del Tablero</w:t>
      </w:r>
    </w:p>
    <w:p>
      <w:r>
        <w:t>La validación funcional del tablero se realiza mediante tres niveles:</w:t>
      </w:r>
    </w:p>
    <w:p>
      <w:pPr>
        <w:pStyle w:val="ListNumber"/>
      </w:pPr>
      <w:r/>
      <w:r>
        <w:rPr>
          <w:b/>
        </w:rPr>
        <w:t>Pruebas unitarias automatizadas (pytest):</w:t>
      </w:r>
      <w:r>
        <w:t xml:space="preserve"> 23 tests que verifican el cálculo correcto de KPIs, la lógica de filtrado, las agrupaciones y el comportamiento de la regresión lineal con datos conocidos.</w:t>
      </w:r>
    </w:p>
    <w:p>
      <w:pPr>
        <w:pStyle w:val="ListNumber"/>
      </w:pPr>
      <w:r/>
      <w:r>
        <w:rPr>
          <w:b/>
        </w:rPr>
        <w:t>Validación con el personal administrativo:</w:t>
      </w:r>
      <w:r>
        <w:t xml:space="preserve"> revisión de los indicadores con el Analista de Gestión ARL y el Director Administrativo de la IPS para confirmar que los resultados son coherentes con el conocimiento operativo del proceso.</w:t>
      </w:r>
    </w:p>
    <w:p>
      <w:pPr>
        <w:pStyle w:val="ListNumber"/>
      </w:pPr>
      <w:r/>
      <w:r>
        <w:rPr>
          <w:b/>
        </w:rPr>
        <w:t>Pruebas de interfaz:</w:t>
      </w:r>
      <w:r>
        <w:t xml:space="preserve"> verificación de que los filtros en cascada, los modales de detalle y la exportación Excel funcionan correctamente en los principales navegadores (Chrome, Firefox, Edge).</w:t>
      </w:r>
    </w:p>
    <w:p>
      <w:pPr>
        <w:pStyle w:val="Heading2"/>
      </w:pPr>
      <w:r>
        <w:t>3.9 Tabla de Trazabilidad — Objetivos, Actividades y Evidencias</w:t>
      </w:r>
    </w:p>
    <w:p>
      <w:r>
        <w:t>La siguiente tabla relaciona cada objetivo específico del proyecto con las actividades planificadas, las herramientas utilizadas y las evidencias o productos generados: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pPr>
            <w:r/>
            <w:r>
              <w:rPr>
                <w:rFonts w:ascii="Times New Roman" w:hAnsi="Times New Roman"/>
                <w:b/>
                <w:sz w:val="20"/>
              </w:rPr>
              <w:t>Objetivo específico</w:t>
            </w:r>
          </w:p>
        </w:tc>
        <w:tc>
          <w:tcPr>
            <w:tcW w:type="dxa" w:w="2340"/>
          </w:tcPr>
          <w:p>
            <w:pPr>
              <w:spacing w:line="276" w:lineRule="auto"/>
            </w:pPr>
            <w:r/>
            <w:r>
              <w:rPr>
                <w:rFonts w:ascii="Times New Roman" w:hAnsi="Times New Roman"/>
                <w:b/>
                <w:sz w:val="20"/>
              </w:rPr>
              <w:t>Actividades planificadas</w:t>
            </w:r>
          </w:p>
        </w:tc>
        <w:tc>
          <w:tcPr>
            <w:tcW w:type="dxa" w:w="2340"/>
          </w:tcPr>
          <w:p>
            <w:pPr>
              <w:spacing w:line="276" w:lineRule="auto"/>
            </w:pPr>
            <w:r/>
            <w:r>
              <w:rPr>
                <w:rFonts w:ascii="Times New Roman" w:hAnsi="Times New Roman"/>
                <w:b/>
                <w:sz w:val="20"/>
              </w:rPr>
              <w:t>Herramientas</w:t>
            </w:r>
          </w:p>
        </w:tc>
        <w:tc>
          <w:tcPr>
            <w:tcW w:type="dxa" w:w="2340"/>
          </w:tcPr>
          <w:p>
            <w:pPr>
              <w:spacing w:line="276" w:lineRule="auto"/>
            </w:pPr>
            <w:r/>
            <w:r>
              <w:rPr>
                <w:rFonts w:ascii="Times New Roman" w:hAnsi="Times New Roman"/>
                <w:b/>
                <w:sz w:val="20"/>
              </w:rPr>
              <w:t>Evidencias / Productos</w:t>
            </w:r>
          </w:p>
        </w:tc>
      </w:tr>
      <w:tr>
        <w:tc>
          <w:tcPr>
            <w:tcW w:type="dxa" w:w="2340"/>
          </w:tcPr>
          <w:p>
            <w:pPr>
              <w:spacing w:line="276" w:lineRule="auto"/>
            </w:pPr>
            <w:r/>
            <w:r>
              <w:rPr>
                <w:rFonts w:ascii="Times New Roman" w:hAnsi="Times New Roman"/>
                <w:sz w:val="20"/>
              </w:rPr>
              <w:t>Identificar las fuentes de datos disponibles y las variables clave</w:t>
            </w:r>
          </w:p>
        </w:tc>
        <w:tc>
          <w:tcPr>
            <w:tcW w:type="dxa" w:w="2340"/>
          </w:tcPr>
          <w:p>
            <w:pPr>
              <w:spacing w:line="276" w:lineRule="auto"/>
            </w:pPr>
            <w:r/>
            <w:r>
              <w:rPr>
                <w:rFonts w:ascii="Times New Roman" w:hAnsi="Times New Roman"/>
                <w:sz w:val="20"/>
              </w:rPr>
              <w:t>Revisión documental de la Matriz ARL; entrevistas con personal administrativo; análisis de calidad de datos</w:t>
            </w:r>
          </w:p>
        </w:tc>
        <w:tc>
          <w:tcPr>
            <w:tcW w:type="dxa" w:w="2340"/>
          </w:tcPr>
          <w:p>
            <w:pPr>
              <w:spacing w:line="276" w:lineRule="auto"/>
            </w:pPr>
            <w:r/>
            <w:r>
              <w:rPr>
                <w:rFonts w:ascii="Times New Roman" w:hAnsi="Times New Roman"/>
                <w:sz w:val="20"/>
              </w:rPr>
              <w:t>Excel, Word</w:t>
            </w:r>
          </w:p>
        </w:tc>
        <w:tc>
          <w:tcPr>
            <w:tcW w:type="dxa" w:w="2340"/>
          </w:tcPr>
          <w:p>
            <w:pPr>
              <w:spacing w:line="276" w:lineRule="auto"/>
            </w:pPr>
            <w:r/>
            <w:r>
              <w:rPr>
                <w:rFonts w:ascii="Times New Roman" w:hAnsi="Times New Roman"/>
                <w:sz w:val="20"/>
              </w:rPr>
              <w:t>Tabla de variables (sección 3.4); árbol del problema (Cap. 1)</w:t>
            </w:r>
          </w:p>
        </w:tc>
      </w:tr>
      <w:tr>
        <w:tc>
          <w:tcPr>
            <w:tcW w:type="dxa" w:w="2340"/>
          </w:tcPr>
          <w:p>
            <w:pPr>
              <w:spacing w:line="276" w:lineRule="auto"/>
            </w:pPr>
            <w:r/>
            <w:r>
              <w:rPr>
                <w:rFonts w:ascii="Times New Roman" w:hAnsi="Times New Roman"/>
                <w:sz w:val="20"/>
              </w:rPr>
              <w:t>Diseñar un modelo unificado de datos</w:t>
            </w:r>
          </w:p>
        </w:tc>
        <w:tc>
          <w:tcPr>
            <w:tcW w:type="dxa" w:w="2340"/>
          </w:tcPr>
          <w:p>
            <w:pPr>
              <w:spacing w:line="276" w:lineRule="auto"/>
            </w:pPr>
            <w:r/>
            <w:r>
              <w:rPr>
                <w:rFonts w:ascii="Times New Roman" w:hAnsi="Times New Roman"/>
                <w:sz w:val="20"/>
              </w:rPr>
              <w:t>Definición de la estructura del dataclass `Orden`; normalización de campos; diseño del catálogo de estados</w:t>
            </w:r>
          </w:p>
        </w:tc>
        <w:tc>
          <w:tcPr>
            <w:tcW w:type="dxa" w:w="2340"/>
          </w:tcPr>
          <w:p>
            <w:pPr>
              <w:spacing w:line="276" w:lineRule="auto"/>
            </w:pPr>
            <w:r/>
            <w:r>
              <w:rPr>
                <w:rFonts w:ascii="Times New Roman" w:hAnsi="Times New Roman"/>
                <w:sz w:val="20"/>
              </w:rPr>
              <w:t>Python (dataclasses)</w:t>
            </w:r>
          </w:p>
        </w:tc>
        <w:tc>
          <w:tcPr>
            <w:tcW w:type="dxa" w:w="2340"/>
          </w:tcPr>
          <w:p>
            <w:pPr>
              <w:spacing w:line="276" w:lineRule="auto"/>
            </w:pPr>
            <w:r/>
            <w:r>
              <w:rPr>
                <w:rFonts w:ascii="Times New Roman" w:hAnsi="Times New Roman"/>
                <w:sz w:val="20"/>
              </w:rPr>
              <w:t>Modelo `Orden` con 13 campos; diagrama de estructura de datos</w:t>
            </w:r>
          </w:p>
        </w:tc>
      </w:tr>
      <w:tr>
        <w:tc>
          <w:tcPr>
            <w:tcW w:type="dxa" w:w="2340"/>
          </w:tcPr>
          <w:p>
            <w:pPr>
              <w:spacing w:line="276" w:lineRule="auto"/>
            </w:pPr>
            <w:r/>
            <w:r>
              <w:rPr>
                <w:rFonts w:ascii="Times New Roman" w:hAnsi="Times New Roman"/>
                <w:sz w:val="20"/>
              </w:rPr>
              <w:t>Diseñar el flujo ETL propuesto</w:t>
            </w:r>
          </w:p>
        </w:tc>
        <w:tc>
          <w:tcPr>
            <w:tcW w:type="dxa" w:w="2340"/>
          </w:tcPr>
          <w:p>
            <w:pPr>
              <w:spacing w:line="276" w:lineRule="auto"/>
            </w:pPr>
            <w:r/>
            <w:r>
              <w:rPr>
                <w:rFonts w:ascii="Times New Roman" w:hAnsi="Times New Roman"/>
                <w:sz w:val="20"/>
              </w:rPr>
              <w:t>Implementación del pipeline de carga Excel; transformación y validación de campos; patrón Repository/DAO</w:t>
            </w:r>
          </w:p>
        </w:tc>
        <w:tc>
          <w:tcPr>
            <w:tcW w:type="dxa" w:w="2340"/>
          </w:tcPr>
          <w:p>
            <w:pPr>
              <w:spacing w:line="276" w:lineRule="auto"/>
            </w:pPr>
            <w:r/>
            <w:r>
              <w:rPr>
                <w:rFonts w:ascii="Times New Roman" w:hAnsi="Times New Roman"/>
                <w:sz w:val="20"/>
              </w:rPr>
              <w:t>Python, openpyxl</w:t>
            </w:r>
          </w:p>
        </w:tc>
        <w:tc>
          <w:tcPr>
            <w:tcW w:type="dxa" w:w="2340"/>
          </w:tcPr>
          <w:p>
            <w:pPr>
              <w:spacing w:line="276" w:lineRule="auto"/>
            </w:pPr>
            <w:r/>
            <w:r>
              <w:rPr>
                <w:rFonts w:ascii="Times New Roman" w:hAnsi="Times New Roman"/>
                <w:sz w:val="20"/>
              </w:rPr>
              <w:t>Diagrama ETL (sección 3.6); endpoint `/gestion/upload`</w:t>
            </w:r>
          </w:p>
        </w:tc>
      </w:tr>
      <w:tr>
        <w:tc>
          <w:tcPr>
            <w:tcW w:type="dxa" w:w="2340"/>
          </w:tcPr>
          <w:p>
            <w:pPr>
              <w:spacing w:line="276" w:lineRule="auto"/>
            </w:pPr>
            <w:r/>
            <w:r>
              <w:rPr>
                <w:rFonts w:ascii="Times New Roman" w:hAnsi="Times New Roman"/>
                <w:sz w:val="20"/>
              </w:rPr>
              <w:t>Definir los KPIs para el seguimiento del proceso</w:t>
            </w:r>
          </w:p>
        </w:tc>
        <w:tc>
          <w:tcPr>
            <w:tcW w:type="dxa" w:w="2340"/>
          </w:tcPr>
          <w:p>
            <w:pPr>
              <w:spacing w:line="276" w:lineRule="auto"/>
            </w:pPr>
            <w:r/>
            <w:r>
              <w:rPr>
                <w:rFonts w:ascii="Times New Roman" w:hAnsi="Times New Roman"/>
                <w:sz w:val="20"/>
              </w:rPr>
              <w:t>Cálculo de 6 indicadores con fórmulas; definición de umbrales de alerta; validación con personal IPS</w:t>
            </w:r>
          </w:p>
        </w:tc>
        <w:tc>
          <w:tcPr>
            <w:tcW w:type="dxa" w:w="2340"/>
          </w:tcPr>
          <w:p>
            <w:pPr>
              <w:spacing w:line="276" w:lineRule="auto"/>
            </w:pPr>
            <w:r/>
            <w:r>
              <w:rPr>
                <w:rFonts w:ascii="Times New Roman" w:hAnsi="Times New Roman"/>
                <w:sz w:val="20"/>
              </w:rPr>
              <w:t>Python (DashboardService)</w:t>
            </w:r>
          </w:p>
        </w:tc>
        <w:tc>
          <w:tcPr>
            <w:tcW w:type="dxa" w:w="2340"/>
          </w:tcPr>
          <w:p>
            <w:pPr>
              <w:spacing w:line="276" w:lineRule="auto"/>
            </w:pPr>
            <w:r/>
            <w:r>
              <w:rPr>
                <w:rFonts w:ascii="Times New Roman" w:hAnsi="Times New Roman"/>
                <w:sz w:val="20"/>
              </w:rPr>
              <w:t>Tabla de KPIs (sección 2.5 Cap. 2); Guía de Tarjetas KPI</w:t>
            </w:r>
          </w:p>
        </w:tc>
      </w:tr>
      <w:tr>
        <w:tc>
          <w:tcPr>
            <w:tcW w:type="dxa" w:w="2340"/>
          </w:tcPr>
          <w:p>
            <w:pPr>
              <w:spacing w:line="276" w:lineRule="auto"/>
            </w:pPr>
            <w:r/>
            <w:r>
              <w:rPr>
                <w:rFonts w:ascii="Times New Roman" w:hAnsi="Times New Roman"/>
                <w:sz w:val="20"/>
              </w:rPr>
              <w:t>Proponer el diseño funcional del tablero interactivo</w:t>
            </w:r>
          </w:p>
        </w:tc>
        <w:tc>
          <w:tcPr>
            <w:tcW w:type="dxa" w:w="2340"/>
          </w:tcPr>
          <w:p>
            <w:pPr>
              <w:spacing w:line="276" w:lineRule="auto"/>
            </w:pPr>
            <w:r/>
            <w:r>
              <w:rPr>
                <w:rFonts w:ascii="Times New Roman" w:hAnsi="Times New Roman"/>
                <w:sz w:val="20"/>
              </w:rPr>
              <w:t>Desarrollo del tablero Flask; implementación de filtros en cascada, gráficos y modales; despliegue en Render</w:t>
            </w:r>
          </w:p>
        </w:tc>
        <w:tc>
          <w:tcPr>
            <w:tcW w:type="dxa" w:w="2340"/>
          </w:tcPr>
          <w:p>
            <w:pPr>
              <w:spacing w:line="276" w:lineRule="auto"/>
            </w:pPr>
            <w:r/>
            <w:r>
              <w:rPr>
                <w:rFonts w:ascii="Times New Roman" w:hAnsi="Times New Roman"/>
                <w:sz w:val="20"/>
              </w:rPr>
              <w:t>Python, Flask, Chart.js, HTML/CSS/JS, Render.com</w:t>
            </w:r>
          </w:p>
        </w:tc>
        <w:tc>
          <w:tcPr>
            <w:tcW w:type="dxa" w:w="2340"/>
          </w:tcPr>
          <w:p>
            <w:pPr>
              <w:spacing w:line="276" w:lineRule="auto"/>
            </w:pPr>
            <w:r/>
            <w:r>
              <w:rPr>
                <w:rFonts w:ascii="Times New Roman" w:hAnsi="Times New Roman"/>
                <w:sz w:val="20"/>
              </w:rPr>
              <w:t>Tablero en producción: https://syso-bi-dashboard.onrender.com</w:t>
            </w:r>
          </w:p>
        </w:tc>
      </w:tr>
    </w:tbl>
    <w:p/>
    <w:p>
      <w:pPr>
        <w:pStyle w:val="Heading2"/>
      </w:pPr>
      <w:r>
        <w:t>3.10 Diagrama de Flujo del Proceso Operativo ARL</w:t>
      </w:r>
    </w:p>
    <w:p>
      <w:r>
        <w:t>El flujo del proceso de gestión ARL en la IPS SYSO Empresarial comprende las siguientes etapas secuenciales, que corresponden a los 10 estados del modelo de datos:</w:t>
      </w:r>
    </w:p>
    <w:p>
      <w:pPr>
        <w:spacing w:line="240" w:lineRule="auto"/>
        <w:ind w:left="567"/>
      </w:pPr>
      <w:r>
        <w:rPr>
          <w:rFonts w:ascii="Courier New" w:hAnsi="Courier New"/>
          <w:sz w:val="18"/>
        </w:rPr>
        <w:t>┌─────────────────────────────────────────────────────────────┐</w:t>
        <w:br/>
        <w:t>│              PROCESO OPERATIVO — ORDEN ARL                  │</w:t>
        <w:br/>
        <w:t>└─────────────────────────────────────────────────────────────┘</w:t>
        <w:br/>
        <w:br/>
        <w:t>1. Ingreso al portal de la ARL</w:t>
        <w:br/>
        <w:t xml:space="preserve">       ↓</w:t>
        <w:br/>
        <w:t>2. Descarga de la orden de servicio → [Estado: RECIBIDA]</w:t>
        <w:br/>
        <w:t xml:space="preserve">       ↓</w:t>
        <w:br/>
        <w:t>3. Revisión y decisión de aceptación</w:t>
        <w:br/>
        <w:t xml:space="preserve">       ├─→ [Estado: RECHAZADA] → Fin del flujo</w:t>
        <w:br/>
        <w:t xml:space="preserve">       └─→ [Estado: ACEPTADA]</w:t>
        <w:br/>
        <w:t xml:space="preserve">              ↓</w:t>
        <w:br/>
        <w:t>4. Registro en la Matriz de Gestión ARL</w:t>
        <w:br/>
        <w:t xml:space="preserve">       ↓</w:t>
        <w:br/>
        <w:t>5. Asignación al profesional responsable</w:t>
        <w:br/>
        <w:t xml:space="preserve">       ↓ [Estado: PROGRAMADA / ASIGNADA]</w:t>
        <w:br/>
        <w:t>6. Programación de la actividad (Sura, Bolívar, Colmena, Alfa)</w:t>
        <w:br/>
        <w:t xml:space="preserve">       ↓ [Estado: EN EJECUCIÓN]</w:t>
        <w:br/>
        <w:t>7. Ejecución del servicio (laboratorio, prueba, asesoría, capacitación)</w:t>
        <w:br/>
        <w:t xml:space="preserve">       ↓ [Estado: EJECUTADA]  ← fecha_ejecucion registrada</w:t>
        <w:br/>
        <w:t>8. Validación y carga de soportes</w:t>
        <w:br/>
        <w:t xml:space="preserve">       ↓ [Estado: SOPORTES RADICADOS]</w:t>
        <w:br/>
        <w:t>9. Facturación a la ARL correspondiente</w:t>
        <w:br/>
        <w:t xml:space="preserve">       ↓ [Estado: FACTURADA]  ← fecha_facturacion registrada</w:t>
        <w:br/>
        <w:t>10. Seguimiento a facturas y cartera</w:t>
        <w:br/>
        <w:br/>
        <w:t>Estados especiales:</w:t>
        <w:br/>
        <w:t xml:space="preserve">   [REEMPLAZADA] → La orden fue sustituida por otra</w:t>
        <w:br/>
        <w:t xml:space="preserve">   [CANCELADA]   → La orden fue anulada sin ejecución</w:t>
      </w:r>
    </w:p>
    <w:p>
      <w:r/>
      <w:r>
        <w:rPr>
          <w:b/>
        </w:rPr>
        <w:t>KPI derivado:</w:t>
      </w:r>
      <w:r>
        <w:t xml:space="preserve"> El tiempo entre el paso 7 (EJECUTADA) y el paso 9 (FACTURADA) es el indicador "Días Prom. Facturación", cuyo umbral de alerta es 30 días.</w:t>
      </w:r>
    </w:p>
    <w:p>
      <w:pPr>
        <w:pStyle w:val="Heading2"/>
      </w:pPr>
      <w:r>
        <w:t>3.11 Herramientas y Tecnologías</w:t>
      </w:r>
    </w:p>
    <w:p>
      <w:pPr>
        <w:pStyle w:val="Heading3"/>
      </w:pPr>
      <w:r>
        <w:t>Tabla 2. Stack tecnológico del proyecto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pPr>
            <w:r/>
            <w:r>
              <w:rPr>
                <w:rFonts w:ascii="Times New Roman" w:hAnsi="Times New Roman"/>
                <w:b/>
                <w:sz w:val="20"/>
              </w:rPr>
              <w:t>Categoría</w:t>
            </w:r>
          </w:p>
        </w:tc>
        <w:tc>
          <w:tcPr>
            <w:tcW w:type="dxa" w:w="2340"/>
          </w:tcPr>
          <w:p>
            <w:pPr>
              <w:spacing w:line="276" w:lineRule="auto"/>
            </w:pPr>
            <w:r/>
            <w:r>
              <w:rPr>
                <w:rFonts w:ascii="Times New Roman" w:hAnsi="Times New Roman"/>
                <w:b/>
                <w:sz w:val="20"/>
              </w:rPr>
              <w:t>Herramienta / Tecnología</w:t>
            </w:r>
          </w:p>
        </w:tc>
        <w:tc>
          <w:tcPr>
            <w:tcW w:type="dxa" w:w="2340"/>
          </w:tcPr>
          <w:p>
            <w:pPr>
              <w:spacing w:line="276" w:lineRule="auto"/>
            </w:pPr>
            <w:r/>
            <w:r>
              <w:rPr>
                <w:rFonts w:ascii="Times New Roman" w:hAnsi="Times New Roman"/>
                <w:b/>
                <w:sz w:val="20"/>
              </w:rPr>
              <w:t>Versión</w:t>
            </w:r>
          </w:p>
        </w:tc>
        <w:tc>
          <w:tcPr>
            <w:tcW w:type="dxa" w:w="2340"/>
          </w:tcPr>
          <w:p>
            <w:pPr>
              <w:spacing w:line="276" w:lineRule="auto"/>
            </w:pPr>
            <w:r/>
            <w:r>
              <w:rPr>
                <w:rFonts w:ascii="Times New Roman" w:hAnsi="Times New Roman"/>
                <w:b/>
                <w:sz w:val="20"/>
              </w:rPr>
              <w:t>Uso en el proyecto</w:t>
            </w:r>
          </w:p>
        </w:tc>
      </w:tr>
      <w:tr>
        <w:tc>
          <w:tcPr>
            <w:tcW w:type="dxa" w:w="2340"/>
          </w:tcPr>
          <w:p>
            <w:pPr>
              <w:spacing w:line="276" w:lineRule="auto"/>
            </w:pPr>
            <w:r/>
            <w:r>
              <w:rPr>
                <w:rFonts w:ascii="Times New Roman" w:hAnsi="Times New Roman"/>
                <w:sz w:val="20"/>
              </w:rPr>
              <w:t>**Lenguaje backend**</w:t>
            </w:r>
          </w:p>
        </w:tc>
        <w:tc>
          <w:tcPr>
            <w:tcW w:type="dxa" w:w="2340"/>
          </w:tcPr>
          <w:p>
            <w:pPr>
              <w:spacing w:line="276" w:lineRule="auto"/>
            </w:pPr>
            <w:r/>
            <w:r>
              <w:rPr>
                <w:rFonts w:ascii="Times New Roman" w:hAnsi="Times New Roman"/>
                <w:sz w:val="20"/>
              </w:rPr>
              <w:t>Python</w:t>
            </w:r>
          </w:p>
        </w:tc>
        <w:tc>
          <w:tcPr>
            <w:tcW w:type="dxa" w:w="2340"/>
          </w:tcPr>
          <w:p>
            <w:pPr>
              <w:spacing w:line="276" w:lineRule="auto"/>
            </w:pPr>
            <w:r/>
            <w:r>
              <w:rPr>
                <w:rFonts w:ascii="Times New Roman" w:hAnsi="Times New Roman"/>
                <w:sz w:val="20"/>
              </w:rPr>
              <w:t>3.12</w:t>
            </w:r>
          </w:p>
        </w:tc>
        <w:tc>
          <w:tcPr>
            <w:tcW w:type="dxa" w:w="2340"/>
          </w:tcPr>
          <w:p>
            <w:pPr>
              <w:spacing w:line="276" w:lineRule="auto"/>
            </w:pPr>
            <w:r/>
            <w:r>
              <w:rPr>
                <w:rFonts w:ascii="Times New Roman" w:hAnsi="Times New Roman"/>
                <w:sz w:val="20"/>
              </w:rPr>
              <w:t>Lógica de negocio, ETL, API REST, modelos analíticos</w:t>
            </w:r>
          </w:p>
        </w:tc>
      </w:tr>
      <w:tr>
        <w:tc>
          <w:tcPr>
            <w:tcW w:type="dxa" w:w="2340"/>
          </w:tcPr>
          <w:p>
            <w:pPr>
              <w:spacing w:line="276" w:lineRule="auto"/>
            </w:pPr>
            <w:r/>
            <w:r>
              <w:rPr>
                <w:rFonts w:ascii="Times New Roman" w:hAnsi="Times New Roman"/>
                <w:sz w:val="20"/>
              </w:rPr>
              <w:t>**Framework web**</w:t>
            </w:r>
          </w:p>
        </w:tc>
        <w:tc>
          <w:tcPr>
            <w:tcW w:type="dxa" w:w="2340"/>
          </w:tcPr>
          <w:p>
            <w:pPr>
              <w:spacing w:line="276" w:lineRule="auto"/>
            </w:pPr>
            <w:r/>
            <w:r>
              <w:rPr>
                <w:rFonts w:ascii="Times New Roman" w:hAnsi="Times New Roman"/>
                <w:sz w:val="20"/>
              </w:rPr>
              <w:t>Flask</w:t>
            </w:r>
          </w:p>
        </w:tc>
        <w:tc>
          <w:tcPr>
            <w:tcW w:type="dxa" w:w="2340"/>
          </w:tcPr>
          <w:p>
            <w:pPr>
              <w:spacing w:line="276" w:lineRule="auto"/>
            </w:pPr>
            <w:r/>
            <w:r>
              <w:rPr>
                <w:rFonts w:ascii="Times New Roman" w:hAnsi="Times New Roman"/>
                <w:sz w:val="20"/>
              </w:rPr>
              <w:t>3.1.0</w:t>
            </w:r>
          </w:p>
        </w:tc>
        <w:tc>
          <w:tcPr>
            <w:tcW w:type="dxa" w:w="2340"/>
          </w:tcPr>
          <w:p>
            <w:pPr>
              <w:spacing w:line="276" w:lineRule="auto"/>
            </w:pPr>
            <w:r/>
            <w:r>
              <w:rPr>
                <w:rFonts w:ascii="Times New Roman" w:hAnsi="Times New Roman"/>
                <w:sz w:val="20"/>
              </w:rPr>
              <w:t>Servidor web, rutas, API REST, autenticación</w:t>
            </w:r>
          </w:p>
        </w:tc>
      </w:tr>
      <w:tr>
        <w:tc>
          <w:tcPr>
            <w:tcW w:type="dxa" w:w="2340"/>
          </w:tcPr>
          <w:p>
            <w:pPr>
              <w:spacing w:line="276" w:lineRule="auto"/>
            </w:pPr>
            <w:r/>
            <w:r>
              <w:rPr>
                <w:rFonts w:ascii="Times New Roman" w:hAnsi="Times New Roman"/>
                <w:sz w:val="20"/>
              </w:rPr>
              <w:t>**Servidor producción**</w:t>
            </w:r>
          </w:p>
        </w:tc>
        <w:tc>
          <w:tcPr>
            <w:tcW w:type="dxa" w:w="2340"/>
          </w:tcPr>
          <w:p>
            <w:pPr>
              <w:spacing w:line="276" w:lineRule="auto"/>
            </w:pPr>
            <w:r/>
            <w:r>
              <w:rPr>
                <w:rFonts w:ascii="Times New Roman" w:hAnsi="Times New Roman"/>
                <w:sz w:val="20"/>
              </w:rPr>
              <w:t>Gunicorn</w:t>
            </w:r>
          </w:p>
        </w:tc>
        <w:tc>
          <w:tcPr>
            <w:tcW w:type="dxa" w:w="2340"/>
          </w:tcPr>
          <w:p>
            <w:pPr>
              <w:spacing w:line="276" w:lineRule="auto"/>
            </w:pPr>
            <w:r/>
            <w:r>
              <w:rPr>
                <w:rFonts w:ascii="Times New Roman" w:hAnsi="Times New Roman"/>
                <w:sz w:val="20"/>
              </w:rPr>
              <w:t>22.0.0</w:t>
            </w:r>
          </w:p>
        </w:tc>
        <w:tc>
          <w:tcPr>
            <w:tcW w:type="dxa" w:w="2340"/>
          </w:tcPr>
          <w:p>
            <w:pPr>
              <w:spacing w:line="276" w:lineRule="auto"/>
            </w:pPr>
            <w:r/>
            <w:r>
              <w:rPr>
                <w:rFonts w:ascii="Times New Roman" w:hAnsi="Times New Roman"/>
                <w:sz w:val="20"/>
              </w:rPr>
              <w:t>WSGI para despliegue en Render.com</w:t>
            </w:r>
          </w:p>
        </w:tc>
      </w:tr>
      <w:tr>
        <w:tc>
          <w:tcPr>
            <w:tcW w:type="dxa" w:w="2340"/>
          </w:tcPr>
          <w:p>
            <w:pPr>
              <w:spacing w:line="276" w:lineRule="auto"/>
            </w:pPr>
            <w:r/>
            <w:r>
              <w:rPr>
                <w:rFonts w:ascii="Times New Roman" w:hAnsi="Times New Roman"/>
                <w:sz w:val="20"/>
              </w:rPr>
              <w:t>**Procesamiento Excel**</w:t>
            </w:r>
          </w:p>
        </w:tc>
        <w:tc>
          <w:tcPr>
            <w:tcW w:type="dxa" w:w="2340"/>
          </w:tcPr>
          <w:p>
            <w:pPr>
              <w:spacing w:line="276" w:lineRule="auto"/>
            </w:pPr>
            <w:r/>
            <w:r>
              <w:rPr>
                <w:rFonts w:ascii="Times New Roman" w:hAnsi="Times New Roman"/>
                <w:sz w:val="20"/>
              </w:rPr>
              <w:t>openpyxl</w:t>
            </w:r>
          </w:p>
        </w:tc>
        <w:tc>
          <w:tcPr>
            <w:tcW w:type="dxa" w:w="2340"/>
          </w:tcPr>
          <w:p>
            <w:pPr>
              <w:spacing w:line="276" w:lineRule="auto"/>
            </w:pPr>
            <w:r/>
            <w:r>
              <w:rPr>
                <w:rFonts w:ascii="Times New Roman" w:hAnsi="Times New Roman"/>
                <w:sz w:val="20"/>
              </w:rPr>
              <w:t>3.1.5</w:t>
            </w:r>
          </w:p>
        </w:tc>
        <w:tc>
          <w:tcPr>
            <w:tcW w:type="dxa" w:w="2340"/>
          </w:tcPr>
          <w:p>
            <w:pPr>
              <w:spacing w:line="276" w:lineRule="auto"/>
            </w:pPr>
            <w:r/>
            <w:r>
              <w:rPr>
                <w:rFonts w:ascii="Times New Roman" w:hAnsi="Times New Roman"/>
                <w:sz w:val="20"/>
              </w:rPr>
              <w:t>Lectura de archivos .xlsx (ETL) y exportación de reportes</w:t>
            </w:r>
          </w:p>
        </w:tc>
      </w:tr>
      <w:tr>
        <w:tc>
          <w:tcPr>
            <w:tcW w:type="dxa" w:w="2340"/>
          </w:tcPr>
          <w:p>
            <w:pPr>
              <w:spacing w:line="276" w:lineRule="auto"/>
            </w:pPr>
            <w:r/>
            <w:r>
              <w:rPr>
                <w:rFonts w:ascii="Times New Roman" w:hAnsi="Times New Roman"/>
                <w:sz w:val="20"/>
              </w:rPr>
              <w:t>**Visualización frontend**</w:t>
            </w:r>
          </w:p>
        </w:tc>
        <w:tc>
          <w:tcPr>
            <w:tcW w:type="dxa" w:w="2340"/>
          </w:tcPr>
          <w:p>
            <w:pPr>
              <w:spacing w:line="276" w:lineRule="auto"/>
            </w:pPr>
            <w:r/>
            <w:r>
              <w:rPr>
                <w:rFonts w:ascii="Times New Roman" w:hAnsi="Times New Roman"/>
                <w:sz w:val="20"/>
              </w:rPr>
              <w:t>Chart.js</w:t>
            </w:r>
          </w:p>
        </w:tc>
        <w:tc>
          <w:tcPr>
            <w:tcW w:type="dxa" w:w="2340"/>
          </w:tcPr>
          <w:p>
            <w:pPr>
              <w:spacing w:line="276" w:lineRule="auto"/>
            </w:pPr>
            <w:r/>
            <w:r>
              <w:rPr>
                <w:rFonts w:ascii="Times New Roman" w:hAnsi="Times New Roman"/>
                <w:sz w:val="20"/>
              </w:rPr>
              <w:t>4.4.1</w:t>
            </w:r>
          </w:p>
        </w:tc>
        <w:tc>
          <w:tcPr>
            <w:tcW w:type="dxa" w:w="2340"/>
          </w:tcPr>
          <w:p>
            <w:pPr>
              <w:spacing w:line="276" w:lineRule="auto"/>
            </w:pPr>
            <w:r/>
            <w:r>
              <w:rPr>
                <w:rFonts w:ascii="Times New Roman" w:hAnsi="Times New Roman"/>
                <w:sz w:val="20"/>
              </w:rPr>
              <w:t>4 gráficos interactivos + 2 gráficos en modales</w:t>
            </w:r>
          </w:p>
        </w:tc>
      </w:tr>
      <w:tr>
        <w:tc>
          <w:tcPr>
            <w:tcW w:type="dxa" w:w="2340"/>
          </w:tcPr>
          <w:p>
            <w:pPr>
              <w:spacing w:line="276" w:lineRule="auto"/>
            </w:pPr>
            <w:r/>
            <w:r>
              <w:rPr>
                <w:rFonts w:ascii="Times New Roman" w:hAnsi="Times New Roman"/>
                <w:sz w:val="20"/>
              </w:rPr>
              <w:t>**Plugin gráficos**</w:t>
            </w:r>
          </w:p>
        </w:tc>
        <w:tc>
          <w:tcPr>
            <w:tcW w:type="dxa" w:w="2340"/>
          </w:tcPr>
          <w:p>
            <w:pPr>
              <w:spacing w:line="276" w:lineRule="auto"/>
            </w:pPr>
            <w:r/>
            <w:r>
              <w:rPr>
                <w:rFonts w:ascii="Times New Roman" w:hAnsi="Times New Roman"/>
                <w:sz w:val="20"/>
              </w:rPr>
              <w:t>chartjs-plugin-datalabels</w:t>
            </w:r>
          </w:p>
        </w:tc>
        <w:tc>
          <w:tcPr>
            <w:tcW w:type="dxa" w:w="2340"/>
          </w:tcPr>
          <w:p>
            <w:pPr>
              <w:spacing w:line="276" w:lineRule="auto"/>
            </w:pPr>
            <w:r/>
            <w:r>
              <w:rPr>
                <w:rFonts w:ascii="Times New Roman" w:hAnsi="Times New Roman"/>
                <w:sz w:val="20"/>
              </w:rPr>
              <w:t>2.2.0</w:t>
            </w:r>
          </w:p>
        </w:tc>
        <w:tc>
          <w:tcPr>
            <w:tcW w:type="dxa" w:w="2340"/>
          </w:tcPr>
          <w:p>
            <w:pPr>
              <w:spacing w:line="276" w:lineRule="auto"/>
            </w:pPr>
            <w:r/>
            <w:r>
              <w:rPr>
                <w:rFonts w:ascii="Times New Roman" w:hAnsi="Times New Roman"/>
                <w:sz w:val="20"/>
              </w:rPr>
              <w:t>Etiquetas de datos en barras y doughnut</w:t>
            </w:r>
          </w:p>
        </w:tc>
      </w:tr>
      <w:tr>
        <w:tc>
          <w:tcPr>
            <w:tcW w:type="dxa" w:w="2340"/>
          </w:tcPr>
          <w:p>
            <w:pPr>
              <w:spacing w:line="276" w:lineRule="auto"/>
            </w:pPr>
            <w:r/>
            <w:r>
              <w:rPr>
                <w:rFonts w:ascii="Times New Roman" w:hAnsi="Times New Roman"/>
                <w:sz w:val="20"/>
              </w:rPr>
              <w:t>**Frontend**</w:t>
            </w:r>
          </w:p>
        </w:tc>
        <w:tc>
          <w:tcPr>
            <w:tcW w:type="dxa" w:w="2340"/>
          </w:tcPr>
          <w:p>
            <w:pPr>
              <w:spacing w:line="276" w:lineRule="auto"/>
            </w:pPr>
            <w:r/>
            <w:r>
              <w:rPr>
                <w:rFonts w:ascii="Times New Roman" w:hAnsi="Times New Roman"/>
                <w:sz w:val="20"/>
              </w:rPr>
              <w:t>HTML5, CSS3, JavaScript ES6+</w:t>
            </w:r>
          </w:p>
        </w:tc>
        <w:tc>
          <w:tcPr>
            <w:tcW w:type="dxa" w:w="2340"/>
          </w:tcPr>
          <w:p>
            <w:pPr>
              <w:spacing w:line="276" w:lineRule="auto"/>
            </w:pPr>
            <w:r/>
            <w:r>
              <w:rPr>
                <w:rFonts w:ascii="Times New Roman" w:hAnsi="Times New Roman"/>
                <w:sz w:val="20"/>
              </w:rPr>
              <w:t>—</w:t>
            </w:r>
          </w:p>
        </w:tc>
        <w:tc>
          <w:tcPr>
            <w:tcW w:type="dxa" w:w="2340"/>
          </w:tcPr>
          <w:p>
            <w:pPr>
              <w:spacing w:line="276" w:lineRule="auto"/>
            </w:pPr>
            <w:r/>
            <w:r>
              <w:rPr>
                <w:rFonts w:ascii="Times New Roman" w:hAnsi="Times New Roman"/>
                <w:sz w:val="20"/>
              </w:rPr>
              <w:t>Interfaz del tablero, filtros en cascada, modales</w:t>
            </w:r>
          </w:p>
        </w:tc>
      </w:tr>
      <w:tr>
        <w:tc>
          <w:tcPr>
            <w:tcW w:type="dxa" w:w="2340"/>
          </w:tcPr>
          <w:p>
            <w:pPr>
              <w:spacing w:line="276" w:lineRule="auto"/>
            </w:pPr>
            <w:r/>
            <w:r>
              <w:rPr>
                <w:rFonts w:ascii="Times New Roman" w:hAnsi="Times New Roman"/>
                <w:sz w:val="20"/>
              </w:rPr>
              <w:t>**Testing**</w:t>
            </w:r>
          </w:p>
        </w:tc>
        <w:tc>
          <w:tcPr>
            <w:tcW w:type="dxa" w:w="2340"/>
          </w:tcPr>
          <w:p>
            <w:pPr>
              <w:spacing w:line="276" w:lineRule="auto"/>
            </w:pPr>
            <w:r/>
            <w:r>
              <w:rPr>
                <w:rFonts w:ascii="Times New Roman" w:hAnsi="Times New Roman"/>
                <w:sz w:val="20"/>
              </w:rPr>
              <w:t>pytest</w:t>
            </w:r>
          </w:p>
        </w:tc>
        <w:tc>
          <w:tcPr>
            <w:tcW w:type="dxa" w:w="2340"/>
          </w:tcPr>
          <w:p>
            <w:pPr>
              <w:spacing w:line="276" w:lineRule="auto"/>
            </w:pPr>
            <w:r/>
            <w:r>
              <w:rPr>
                <w:rFonts w:ascii="Times New Roman" w:hAnsi="Times New Roman"/>
                <w:sz w:val="20"/>
              </w:rPr>
              <w:t>8.3.4</w:t>
            </w:r>
          </w:p>
        </w:tc>
        <w:tc>
          <w:tcPr>
            <w:tcW w:type="dxa" w:w="2340"/>
          </w:tcPr>
          <w:p>
            <w:pPr>
              <w:spacing w:line="276" w:lineRule="auto"/>
            </w:pPr>
            <w:r/>
            <w:r>
              <w:rPr>
                <w:rFonts w:ascii="Times New Roman" w:hAnsi="Times New Roman"/>
                <w:sz w:val="20"/>
              </w:rPr>
              <w:t>23 pruebas unitarias automatizadas</w:t>
            </w:r>
          </w:p>
        </w:tc>
      </w:tr>
      <w:tr>
        <w:tc>
          <w:tcPr>
            <w:tcW w:type="dxa" w:w="2340"/>
          </w:tcPr>
          <w:p>
            <w:pPr>
              <w:spacing w:line="276" w:lineRule="auto"/>
            </w:pPr>
            <w:r/>
            <w:r>
              <w:rPr>
                <w:rFonts w:ascii="Times New Roman" w:hAnsi="Times New Roman"/>
                <w:sz w:val="20"/>
              </w:rPr>
              <w:t>**Testing propiedades**</w:t>
            </w:r>
          </w:p>
        </w:tc>
        <w:tc>
          <w:tcPr>
            <w:tcW w:type="dxa" w:w="2340"/>
          </w:tcPr>
          <w:p>
            <w:pPr>
              <w:spacing w:line="276" w:lineRule="auto"/>
            </w:pPr>
            <w:r/>
            <w:r>
              <w:rPr>
                <w:rFonts w:ascii="Times New Roman" w:hAnsi="Times New Roman"/>
                <w:sz w:val="20"/>
              </w:rPr>
              <w:t>hypothesis</w:t>
            </w:r>
          </w:p>
        </w:tc>
        <w:tc>
          <w:tcPr>
            <w:tcW w:type="dxa" w:w="2340"/>
          </w:tcPr>
          <w:p>
            <w:pPr>
              <w:spacing w:line="276" w:lineRule="auto"/>
            </w:pPr>
            <w:r/>
            <w:r>
              <w:rPr>
                <w:rFonts w:ascii="Times New Roman" w:hAnsi="Times New Roman"/>
                <w:sz w:val="20"/>
              </w:rPr>
              <w:t>6.100.0</w:t>
            </w:r>
          </w:p>
        </w:tc>
        <w:tc>
          <w:tcPr>
            <w:tcW w:type="dxa" w:w="2340"/>
          </w:tcPr>
          <w:p>
            <w:pPr>
              <w:spacing w:line="276" w:lineRule="auto"/>
            </w:pPr>
            <w:r/>
            <w:r>
              <w:rPr>
                <w:rFonts w:ascii="Times New Roman" w:hAnsi="Times New Roman"/>
                <w:sz w:val="20"/>
              </w:rPr>
              <w:t>Pruebas basadas en propiedades para casos extremos</w:t>
            </w:r>
          </w:p>
        </w:tc>
      </w:tr>
      <w:tr>
        <w:tc>
          <w:tcPr>
            <w:tcW w:type="dxa" w:w="2340"/>
          </w:tcPr>
          <w:p>
            <w:pPr>
              <w:spacing w:line="276" w:lineRule="auto"/>
            </w:pPr>
            <w:r/>
            <w:r>
              <w:rPr>
                <w:rFonts w:ascii="Times New Roman" w:hAnsi="Times New Roman"/>
                <w:sz w:val="20"/>
              </w:rPr>
              <w:t>**Control de versiones**</w:t>
            </w:r>
          </w:p>
        </w:tc>
        <w:tc>
          <w:tcPr>
            <w:tcW w:type="dxa" w:w="2340"/>
          </w:tcPr>
          <w:p>
            <w:pPr>
              <w:spacing w:line="276" w:lineRule="auto"/>
            </w:pPr>
            <w:r/>
            <w:r>
              <w:rPr>
                <w:rFonts w:ascii="Times New Roman" w:hAnsi="Times New Roman"/>
                <w:sz w:val="20"/>
              </w:rPr>
              <w:t>Git + GitHub</w:t>
            </w:r>
          </w:p>
        </w:tc>
        <w:tc>
          <w:tcPr>
            <w:tcW w:type="dxa" w:w="2340"/>
          </w:tcPr>
          <w:p>
            <w:pPr>
              <w:spacing w:line="276" w:lineRule="auto"/>
            </w:pPr>
            <w:r/>
            <w:r>
              <w:rPr>
                <w:rFonts w:ascii="Times New Roman" w:hAnsi="Times New Roman"/>
                <w:sz w:val="20"/>
              </w:rPr>
              <w:t>—</w:t>
            </w:r>
          </w:p>
        </w:tc>
        <w:tc>
          <w:tcPr>
            <w:tcW w:type="dxa" w:w="2340"/>
          </w:tcPr>
          <w:p>
            <w:pPr>
              <w:spacing w:line="276" w:lineRule="auto"/>
            </w:pPr>
            <w:r/>
            <w:r>
              <w:rPr>
                <w:rFonts w:ascii="Times New Roman" w:hAnsi="Times New Roman"/>
                <w:sz w:val="20"/>
              </w:rPr>
              <w:t>Repositorio: github.com/carlosbax25/syso-bi-dashboard</w:t>
            </w:r>
          </w:p>
        </w:tc>
      </w:tr>
      <w:tr>
        <w:tc>
          <w:tcPr>
            <w:tcW w:type="dxa" w:w="2340"/>
          </w:tcPr>
          <w:p>
            <w:pPr>
              <w:spacing w:line="276" w:lineRule="auto"/>
            </w:pPr>
            <w:r/>
            <w:r>
              <w:rPr>
                <w:rFonts w:ascii="Times New Roman" w:hAnsi="Times New Roman"/>
                <w:sz w:val="20"/>
              </w:rPr>
              <w:t>**Hosting / CI-CD**</w:t>
            </w:r>
          </w:p>
        </w:tc>
        <w:tc>
          <w:tcPr>
            <w:tcW w:type="dxa" w:w="2340"/>
          </w:tcPr>
          <w:p>
            <w:pPr>
              <w:spacing w:line="276" w:lineRule="auto"/>
            </w:pPr>
            <w:r/>
            <w:r>
              <w:rPr>
                <w:rFonts w:ascii="Times New Roman" w:hAnsi="Times New Roman"/>
                <w:sz w:val="20"/>
              </w:rPr>
              <w:t>Render.com</w:t>
            </w:r>
          </w:p>
        </w:tc>
        <w:tc>
          <w:tcPr>
            <w:tcW w:type="dxa" w:w="2340"/>
          </w:tcPr>
          <w:p>
            <w:pPr>
              <w:spacing w:line="276" w:lineRule="auto"/>
            </w:pPr>
            <w:r/>
            <w:r>
              <w:rPr>
                <w:rFonts w:ascii="Times New Roman" w:hAnsi="Times New Roman"/>
                <w:sz w:val="20"/>
              </w:rPr>
              <w:t>Free tier</w:t>
            </w:r>
          </w:p>
        </w:tc>
        <w:tc>
          <w:tcPr>
            <w:tcW w:type="dxa" w:w="2340"/>
          </w:tcPr>
          <w:p>
            <w:pPr>
              <w:spacing w:line="276" w:lineRule="auto"/>
            </w:pPr>
            <w:r/>
            <w:r>
              <w:rPr>
                <w:rFonts w:ascii="Times New Roman" w:hAnsi="Times New Roman"/>
                <w:sz w:val="20"/>
              </w:rPr>
              <w:t>Deploy automático al hacer push a rama main</w:t>
            </w:r>
          </w:p>
        </w:tc>
      </w:tr>
      <w:tr>
        <w:tc>
          <w:tcPr>
            <w:tcW w:type="dxa" w:w="2340"/>
          </w:tcPr>
          <w:p>
            <w:pPr>
              <w:spacing w:line="276" w:lineRule="auto"/>
            </w:pPr>
            <w:r/>
            <w:r>
              <w:rPr>
                <w:rFonts w:ascii="Times New Roman" w:hAnsi="Times New Roman"/>
                <w:sz w:val="20"/>
              </w:rPr>
              <w:t>**Edición de datos**</w:t>
            </w:r>
          </w:p>
        </w:tc>
        <w:tc>
          <w:tcPr>
            <w:tcW w:type="dxa" w:w="2340"/>
          </w:tcPr>
          <w:p>
            <w:pPr>
              <w:spacing w:line="276" w:lineRule="auto"/>
            </w:pPr>
            <w:r/>
            <w:r>
              <w:rPr>
                <w:rFonts w:ascii="Times New Roman" w:hAnsi="Times New Roman"/>
                <w:sz w:val="20"/>
              </w:rPr>
              <w:t>Microsoft Excel</w:t>
            </w:r>
          </w:p>
        </w:tc>
        <w:tc>
          <w:tcPr>
            <w:tcW w:type="dxa" w:w="2340"/>
          </w:tcPr>
          <w:p>
            <w:pPr>
              <w:spacing w:line="276" w:lineRule="auto"/>
            </w:pPr>
            <w:r/>
            <w:r>
              <w:rPr>
                <w:rFonts w:ascii="Times New Roman" w:hAnsi="Times New Roman"/>
                <w:sz w:val="20"/>
              </w:rPr>
              <w:t>—</w:t>
            </w:r>
          </w:p>
        </w:tc>
        <w:tc>
          <w:tcPr>
            <w:tcW w:type="dxa" w:w="2340"/>
          </w:tcPr>
          <w:p>
            <w:pPr>
              <w:spacing w:line="276" w:lineRule="auto"/>
            </w:pPr>
            <w:r/>
            <w:r>
              <w:rPr>
                <w:rFonts w:ascii="Times New Roman" w:hAnsi="Times New Roman"/>
                <w:sz w:val="20"/>
              </w:rPr>
              <w:t>Fuente de datos: Matriz ARL 2026</w:t>
            </w:r>
          </w:p>
        </w:tc>
      </w:tr>
      <w:tr>
        <w:tc>
          <w:tcPr>
            <w:tcW w:type="dxa" w:w="2340"/>
          </w:tcPr>
          <w:p>
            <w:pPr>
              <w:spacing w:line="276" w:lineRule="auto"/>
            </w:pPr>
            <w:r/>
            <w:r>
              <w:rPr>
                <w:rFonts w:ascii="Times New Roman" w:hAnsi="Times New Roman"/>
                <w:sz w:val="20"/>
              </w:rPr>
              <w:t>**Documentación**</w:t>
            </w:r>
          </w:p>
        </w:tc>
        <w:tc>
          <w:tcPr>
            <w:tcW w:type="dxa" w:w="2340"/>
          </w:tcPr>
          <w:p>
            <w:pPr>
              <w:spacing w:line="276" w:lineRule="auto"/>
            </w:pPr>
            <w:r/>
            <w:r>
              <w:rPr>
                <w:rFonts w:ascii="Times New Roman" w:hAnsi="Times New Roman"/>
                <w:sz w:val="20"/>
              </w:rPr>
              <w:t>Microsoft Word</w:t>
            </w:r>
          </w:p>
        </w:tc>
        <w:tc>
          <w:tcPr>
            <w:tcW w:type="dxa" w:w="2340"/>
          </w:tcPr>
          <w:p>
            <w:pPr>
              <w:spacing w:line="276" w:lineRule="auto"/>
            </w:pPr>
            <w:r/>
            <w:r>
              <w:rPr>
                <w:rFonts w:ascii="Times New Roman" w:hAnsi="Times New Roman"/>
                <w:sz w:val="20"/>
              </w:rPr>
              <w:t>—</w:t>
            </w:r>
          </w:p>
        </w:tc>
        <w:tc>
          <w:tcPr>
            <w:tcW w:type="dxa" w:w="2340"/>
          </w:tcPr>
          <w:p>
            <w:pPr>
              <w:spacing w:line="276" w:lineRule="auto"/>
            </w:pPr>
            <w:r/>
            <w:r>
              <w:rPr>
                <w:rFonts w:ascii="Times New Roman" w:hAnsi="Times New Roman"/>
                <w:sz w:val="20"/>
              </w:rPr>
              <w:t>Informe del proyecto</w:t>
            </w:r>
          </w:p>
        </w:tc>
      </w:tr>
    </w:tbl>
    <w:p/>
    <w:p>
      <w:r/>
      <w:r>
        <w:rPr>
          <w:i/>
        </w:rPr>
        <w:t>Nota: A diferencia de lo planificado en la fase de diseño inicial, la implementación final utilizó Chart.js (JavaScript) en lugar de Plotly/Dash, y Python puro para los modelos analíticos en lugar de pandas/matplotlib. Esta decisión redujo las dependencias del proyecto y mejoró el rendimiento del tablero en el entorno de despliegue gratuito de Render.com.</w:t>
      </w:r>
      <w:r/>
    </w:p>
    <w:p>
      <w:pPr>
        <w:pStyle w:val="Heading2"/>
      </w:pPr>
      <w:r>
        <w:t>3.12 Cronograma General</w:t>
      </w:r>
    </w:p>
    <w:p>
      <w:pPr>
        <w:pStyle w:val="Heading3"/>
      </w:pPr>
      <w:r>
        <w:t>Tabla 3. Cronograma por semanas — Semestre I 2026</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pPr>
            <w:r/>
            <w:r>
              <w:rPr>
                <w:rFonts w:ascii="Times New Roman" w:hAnsi="Times New Roman"/>
                <w:b/>
                <w:sz w:val="20"/>
              </w:rPr>
              <w:t>Semana</w:t>
            </w:r>
          </w:p>
        </w:tc>
        <w:tc>
          <w:tcPr>
            <w:tcW w:type="dxa" w:w="2340"/>
          </w:tcPr>
          <w:p>
            <w:pPr>
              <w:spacing w:line="276" w:lineRule="auto"/>
            </w:pPr>
            <w:r/>
            <w:r>
              <w:rPr>
                <w:rFonts w:ascii="Times New Roman" w:hAnsi="Times New Roman"/>
                <w:b/>
                <w:sz w:val="20"/>
              </w:rPr>
              <w:t>Fase CRISP-DM</w:t>
            </w:r>
          </w:p>
        </w:tc>
        <w:tc>
          <w:tcPr>
            <w:tcW w:type="dxa" w:w="2340"/>
          </w:tcPr>
          <w:p>
            <w:pPr>
              <w:spacing w:line="276" w:lineRule="auto"/>
            </w:pPr>
            <w:r/>
            <w:r>
              <w:rPr>
                <w:rFonts w:ascii="Times New Roman" w:hAnsi="Times New Roman"/>
                <w:b/>
                <w:sz w:val="20"/>
              </w:rPr>
              <w:t>Actividades principales</w:t>
            </w:r>
          </w:p>
        </w:tc>
        <w:tc>
          <w:tcPr>
            <w:tcW w:type="dxa" w:w="2340"/>
          </w:tcPr>
          <w:p>
            <w:pPr>
              <w:spacing w:line="276" w:lineRule="auto"/>
            </w:pPr>
            <w:r/>
            <w:r>
              <w:rPr>
                <w:rFonts w:ascii="Times New Roman" w:hAnsi="Times New Roman"/>
                <w:b/>
                <w:sz w:val="20"/>
              </w:rPr>
              <w:t>Hito / Entregable</w:t>
            </w:r>
          </w:p>
        </w:tc>
      </w:tr>
      <w:tr>
        <w:tc>
          <w:tcPr>
            <w:tcW w:type="dxa" w:w="2340"/>
          </w:tcPr>
          <w:p>
            <w:pPr>
              <w:spacing w:line="276" w:lineRule="auto"/>
            </w:pPr>
            <w:r/>
            <w:r>
              <w:rPr>
                <w:rFonts w:ascii="Times New Roman" w:hAnsi="Times New Roman"/>
                <w:sz w:val="20"/>
              </w:rPr>
              <w:t>1–2</w:t>
            </w:r>
          </w:p>
        </w:tc>
        <w:tc>
          <w:tcPr>
            <w:tcW w:type="dxa" w:w="2340"/>
          </w:tcPr>
          <w:p>
            <w:pPr>
              <w:spacing w:line="276" w:lineRule="auto"/>
            </w:pPr>
            <w:r/>
            <w:r>
              <w:rPr>
                <w:rFonts w:ascii="Times New Roman" w:hAnsi="Times New Roman"/>
                <w:sz w:val="20"/>
              </w:rPr>
              <w:t>Comprensión del negocio</w:t>
            </w:r>
          </w:p>
        </w:tc>
        <w:tc>
          <w:tcPr>
            <w:tcW w:type="dxa" w:w="2340"/>
          </w:tcPr>
          <w:p>
            <w:pPr>
              <w:spacing w:line="276" w:lineRule="auto"/>
            </w:pPr>
            <w:r/>
            <w:r>
              <w:rPr>
                <w:rFonts w:ascii="Times New Roman" w:hAnsi="Times New Roman"/>
                <w:sz w:val="20"/>
              </w:rPr>
              <w:t>Entrevistas con personal IPS; revisión de la Matriz ARL; identificación del problema</w:t>
            </w:r>
          </w:p>
        </w:tc>
        <w:tc>
          <w:tcPr>
            <w:tcW w:type="dxa" w:w="2340"/>
          </w:tcPr>
          <w:p>
            <w:pPr>
              <w:spacing w:line="276" w:lineRule="auto"/>
            </w:pPr>
            <w:r/>
            <w:r>
              <w:rPr>
                <w:rFonts w:ascii="Times New Roman" w:hAnsi="Times New Roman"/>
                <w:sz w:val="20"/>
              </w:rPr>
              <w:t>Árbol del problema; preguntas de investigación (Cap. 1)</w:t>
            </w:r>
          </w:p>
        </w:tc>
      </w:tr>
      <w:tr>
        <w:tc>
          <w:tcPr>
            <w:tcW w:type="dxa" w:w="2340"/>
          </w:tcPr>
          <w:p>
            <w:pPr>
              <w:spacing w:line="276" w:lineRule="auto"/>
            </w:pPr>
            <w:r/>
            <w:r>
              <w:rPr>
                <w:rFonts w:ascii="Times New Roman" w:hAnsi="Times New Roman"/>
                <w:sz w:val="20"/>
              </w:rPr>
              <w:t>3–4</w:t>
            </w:r>
          </w:p>
        </w:tc>
        <w:tc>
          <w:tcPr>
            <w:tcW w:type="dxa" w:w="2340"/>
          </w:tcPr>
          <w:p>
            <w:pPr>
              <w:spacing w:line="276" w:lineRule="auto"/>
            </w:pPr>
            <w:r/>
            <w:r>
              <w:rPr>
                <w:rFonts w:ascii="Times New Roman" w:hAnsi="Times New Roman"/>
                <w:sz w:val="20"/>
              </w:rPr>
              <w:t>Comprensión de los datos</w:t>
            </w:r>
          </w:p>
        </w:tc>
        <w:tc>
          <w:tcPr>
            <w:tcW w:type="dxa" w:w="2340"/>
          </w:tcPr>
          <w:p>
            <w:pPr>
              <w:spacing w:line="276" w:lineRule="auto"/>
            </w:pPr>
            <w:r/>
            <w:r>
              <w:rPr>
                <w:rFonts w:ascii="Times New Roman" w:hAnsi="Times New Roman"/>
                <w:sz w:val="20"/>
              </w:rPr>
              <w:t>Análisis de calidad de datos; identificación de variables; revisión de fuentes</w:t>
            </w:r>
          </w:p>
        </w:tc>
        <w:tc>
          <w:tcPr>
            <w:tcW w:type="dxa" w:w="2340"/>
          </w:tcPr>
          <w:p>
            <w:pPr>
              <w:spacing w:line="276" w:lineRule="auto"/>
            </w:pPr>
            <w:r/>
            <w:r>
              <w:rPr>
                <w:rFonts w:ascii="Times New Roman" w:hAnsi="Times New Roman"/>
                <w:sz w:val="20"/>
              </w:rPr>
              <w:t>Tabla de variables; diagnóstico de calidad de datos</w:t>
            </w:r>
          </w:p>
        </w:tc>
      </w:tr>
      <w:tr>
        <w:tc>
          <w:tcPr>
            <w:tcW w:type="dxa" w:w="2340"/>
          </w:tcPr>
          <w:p>
            <w:pPr>
              <w:spacing w:line="276" w:lineRule="auto"/>
            </w:pPr>
            <w:r/>
            <w:r>
              <w:rPr>
                <w:rFonts w:ascii="Times New Roman" w:hAnsi="Times New Roman"/>
                <w:sz w:val="20"/>
              </w:rPr>
              <w:t>5–6</w:t>
            </w:r>
          </w:p>
        </w:tc>
        <w:tc>
          <w:tcPr>
            <w:tcW w:type="dxa" w:w="2340"/>
          </w:tcPr>
          <w:p>
            <w:pPr>
              <w:spacing w:line="276" w:lineRule="auto"/>
            </w:pPr>
            <w:r/>
            <w:r>
              <w:rPr>
                <w:rFonts w:ascii="Times New Roman" w:hAnsi="Times New Roman"/>
                <w:sz w:val="20"/>
              </w:rPr>
              <w:t>Preparación de datos (ETL)</w:t>
            </w:r>
          </w:p>
        </w:tc>
        <w:tc>
          <w:tcPr>
            <w:tcW w:type="dxa" w:w="2340"/>
          </w:tcPr>
          <w:p>
            <w:pPr>
              <w:spacing w:line="276" w:lineRule="auto"/>
            </w:pPr>
            <w:r/>
            <w:r>
              <w:rPr>
                <w:rFonts w:ascii="Times New Roman" w:hAnsi="Times New Roman"/>
                <w:sz w:val="20"/>
              </w:rPr>
              <w:t>Diseño del modelo de datos; implementación del pipeline ETL; validación de campos</w:t>
            </w:r>
          </w:p>
        </w:tc>
        <w:tc>
          <w:tcPr>
            <w:tcW w:type="dxa" w:w="2340"/>
          </w:tcPr>
          <w:p>
            <w:pPr>
              <w:spacing w:line="276" w:lineRule="auto"/>
            </w:pPr>
            <w:r/>
            <w:r>
              <w:rPr>
                <w:rFonts w:ascii="Times New Roman" w:hAnsi="Times New Roman"/>
                <w:sz w:val="20"/>
              </w:rPr>
              <w:t>Modelo `Orden`; endpoint de carga Excel</w:t>
            </w:r>
          </w:p>
        </w:tc>
      </w:tr>
      <w:tr>
        <w:tc>
          <w:tcPr>
            <w:tcW w:type="dxa" w:w="2340"/>
          </w:tcPr>
          <w:p>
            <w:pPr>
              <w:spacing w:line="276" w:lineRule="auto"/>
            </w:pPr>
            <w:r/>
            <w:r>
              <w:rPr>
                <w:rFonts w:ascii="Times New Roman" w:hAnsi="Times New Roman"/>
                <w:sz w:val="20"/>
              </w:rPr>
              <w:t>7–8</w:t>
            </w:r>
          </w:p>
        </w:tc>
        <w:tc>
          <w:tcPr>
            <w:tcW w:type="dxa" w:w="2340"/>
          </w:tcPr>
          <w:p>
            <w:pPr>
              <w:spacing w:line="276" w:lineRule="auto"/>
            </w:pPr>
            <w:r/>
            <w:r>
              <w:rPr>
                <w:rFonts w:ascii="Times New Roman" w:hAnsi="Times New Roman"/>
                <w:sz w:val="20"/>
              </w:rPr>
              <w:t>Modelado</w:t>
            </w:r>
          </w:p>
        </w:tc>
        <w:tc>
          <w:tcPr>
            <w:tcW w:type="dxa" w:w="2340"/>
          </w:tcPr>
          <w:p>
            <w:pPr>
              <w:spacing w:line="276" w:lineRule="auto"/>
            </w:pPr>
            <w:r/>
            <w:r>
              <w:rPr>
                <w:rFonts w:ascii="Times New Roman" w:hAnsi="Times New Roman"/>
                <w:sz w:val="20"/>
              </w:rPr>
              <w:t>Implementación de KPIs; desarrollo de agrupaciones y gráficos; regresión lineal</w:t>
            </w:r>
          </w:p>
        </w:tc>
        <w:tc>
          <w:tcPr>
            <w:tcW w:type="dxa" w:w="2340"/>
          </w:tcPr>
          <w:p>
            <w:pPr>
              <w:spacing w:line="276" w:lineRule="auto"/>
            </w:pPr>
            <w:r/>
            <w:r>
              <w:rPr>
                <w:rFonts w:ascii="Times New Roman" w:hAnsi="Times New Roman"/>
                <w:sz w:val="20"/>
              </w:rPr>
              <w:t>`DashboardService` con 10 métodos; tablero versión 1</w:t>
            </w:r>
          </w:p>
        </w:tc>
      </w:tr>
      <w:tr>
        <w:tc>
          <w:tcPr>
            <w:tcW w:type="dxa" w:w="2340"/>
          </w:tcPr>
          <w:p>
            <w:pPr>
              <w:spacing w:line="276" w:lineRule="auto"/>
            </w:pPr>
            <w:r/>
            <w:r>
              <w:rPr>
                <w:rFonts w:ascii="Times New Roman" w:hAnsi="Times New Roman"/>
                <w:sz w:val="20"/>
              </w:rPr>
              <w:t>9</w:t>
            </w:r>
          </w:p>
        </w:tc>
        <w:tc>
          <w:tcPr>
            <w:tcW w:type="dxa" w:w="2340"/>
          </w:tcPr>
          <w:p>
            <w:pPr>
              <w:spacing w:line="276" w:lineRule="auto"/>
            </w:pPr>
            <w:r/>
            <w:r>
              <w:rPr>
                <w:rFonts w:ascii="Times New Roman" w:hAnsi="Times New Roman"/>
                <w:sz w:val="20"/>
              </w:rPr>
              <w:t>Evaluación</w:t>
            </w:r>
          </w:p>
        </w:tc>
        <w:tc>
          <w:tcPr>
            <w:tcW w:type="dxa" w:w="2340"/>
          </w:tcPr>
          <w:p>
            <w:pPr>
              <w:spacing w:line="276" w:lineRule="auto"/>
            </w:pPr>
            <w:r/>
            <w:r>
              <w:rPr>
                <w:rFonts w:ascii="Times New Roman" w:hAnsi="Times New Roman"/>
                <w:sz w:val="20"/>
              </w:rPr>
              <w:t>Validación de KPIs con personal IPS; ajuste de umbrales y etiquetas</w:t>
            </w:r>
          </w:p>
        </w:tc>
        <w:tc>
          <w:tcPr>
            <w:tcW w:type="dxa" w:w="2340"/>
          </w:tcPr>
          <w:p>
            <w:pPr>
              <w:spacing w:line="276" w:lineRule="auto"/>
            </w:pPr>
            <w:r/>
            <w:r>
              <w:rPr>
                <w:rFonts w:ascii="Times New Roman" w:hAnsi="Times New Roman"/>
                <w:sz w:val="20"/>
              </w:rPr>
              <w:t>Tablero ajustado; métricas de validación (RMSE, MAE)</w:t>
            </w:r>
          </w:p>
        </w:tc>
      </w:tr>
      <w:tr>
        <w:tc>
          <w:tcPr>
            <w:tcW w:type="dxa" w:w="2340"/>
          </w:tcPr>
          <w:p>
            <w:pPr>
              <w:spacing w:line="276" w:lineRule="auto"/>
            </w:pPr>
            <w:r/>
            <w:r>
              <w:rPr>
                <w:rFonts w:ascii="Times New Roman" w:hAnsi="Times New Roman"/>
                <w:sz w:val="20"/>
              </w:rPr>
              <w:t>10</w:t>
            </w:r>
          </w:p>
        </w:tc>
        <w:tc>
          <w:tcPr>
            <w:tcW w:type="dxa" w:w="2340"/>
          </w:tcPr>
          <w:p>
            <w:pPr>
              <w:spacing w:line="276" w:lineRule="auto"/>
            </w:pPr>
            <w:r/>
            <w:r>
              <w:rPr>
                <w:rFonts w:ascii="Times New Roman" w:hAnsi="Times New Roman"/>
                <w:sz w:val="20"/>
              </w:rPr>
              <w:t>Despliegue</w:t>
            </w:r>
          </w:p>
        </w:tc>
        <w:tc>
          <w:tcPr>
            <w:tcW w:type="dxa" w:w="2340"/>
          </w:tcPr>
          <w:p>
            <w:pPr>
              <w:spacing w:line="276" w:lineRule="auto"/>
            </w:pPr>
            <w:r/>
            <w:r>
              <w:rPr>
                <w:rFonts w:ascii="Times New Roman" w:hAnsi="Times New Roman"/>
                <w:sz w:val="20"/>
              </w:rPr>
              <w:t>Publicación en Render.com; pruebas en producción; documentación técnica</w:t>
            </w:r>
          </w:p>
        </w:tc>
        <w:tc>
          <w:tcPr>
            <w:tcW w:type="dxa" w:w="2340"/>
          </w:tcPr>
          <w:p>
            <w:pPr>
              <w:spacing w:line="276" w:lineRule="auto"/>
            </w:pPr>
            <w:r/>
            <w:r>
              <w:rPr>
                <w:rFonts w:ascii="Times New Roman" w:hAnsi="Times New Roman"/>
                <w:sz w:val="20"/>
              </w:rPr>
              <w:t>URL en producción; tests automatizados (23 pruebas)</w:t>
            </w:r>
          </w:p>
        </w:tc>
      </w:tr>
      <w:tr>
        <w:tc>
          <w:tcPr>
            <w:tcW w:type="dxa" w:w="2340"/>
          </w:tcPr>
          <w:p>
            <w:pPr>
              <w:spacing w:line="276" w:lineRule="auto"/>
            </w:pPr>
            <w:r/>
            <w:r>
              <w:rPr>
                <w:rFonts w:ascii="Times New Roman" w:hAnsi="Times New Roman"/>
                <w:sz w:val="20"/>
              </w:rPr>
              <w:t>11–12</w:t>
            </w:r>
          </w:p>
        </w:tc>
        <w:tc>
          <w:tcPr>
            <w:tcW w:type="dxa" w:w="2340"/>
          </w:tcPr>
          <w:p>
            <w:pPr>
              <w:spacing w:line="276" w:lineRule="auto"/>
            </w:pPr>
            <w:r/>
            <w:r>
              <w:rPr>
                <w:rFonts w:ascii="Times New Roman" w:hAnsi="Times New Roman"/>
                <w:sz w:val="20"/>
              </w:rPr>
              <w:t>Documentación</w:t>
            </w:r>
          </w:p>
        </w:tc>
        <w:tc>
          <w:tcPr>
            <w:tcW w:type="dxa" w:w="2340"/>
          </w:tcPr>
          <w:p>
            <w:pPr>
              <w:spacing w:line="276" w:lineRule="auto"/>
            </w:pPr>
            <w:r/>
            <w:r>
              <w:rPr>
                <w:rFonts w:ascii="Times New Roman" w:hAnsi="Times New Roman"/>
                <w:sz w:val="20"/>
              </w:rPr>
              <w:t>Redacción del informe final (Caps. 1, 2, 3); preparación de la presentación</w:t>
            </w:r>
          </w:p>
        </w:tc>
        <w:tc>
          <w:tcPr>
            <w:tcW w:type="dxa" w:w="2340"/>
          </w:tcPr>
          <w:p>
            <w:pPr>
              <w:spacing w:line="276" w:lineRule="auto"/>
            </w:pPr>
            <w:r/>
            <w:r>
              <w:rPr>
                <w:rFonts w:ascii="Times New Roman" w:hAnsi="Times New Roman"/>
                <w:sz w:val="20"/>
              </w:rPr>
              <w:t>Informe completo; presentación ejecutiva</w:t>
            </w:r>
          </w:p>
        </w:tc>
      </w:tr>
      <w:tr>
        <w:tc>
          <w:tcPr>
            <w:tcW w:type="dxa" w:w="2340"/>
          </w:tcPr>
          <w:p>
            <w:pPr>
              <w:spacing w:line="276" w:lineRule="auto"/>
            </w:pPr>
            <w:r/>
            <w:r>
              <w:rPr>
                <w:rFonts w:ascii="Times New Roman" w:hAnsi="Times New Roman"/>
                <w:sz w:val="20"/>
              </w:rPr>
              <w:t>13</w:t>
            </w:r>
          </w:p>
        </w:tc>
        <w:tc>
          <w:tcPr>
            <w:tcW w:type="dxa" w:w="2340"/>
          </w:tcPr>
          <w:p>
            <w:pPr>
              <w:spacing w:line="276" w:lineRule="auto"/>
            </w:pPr>
            <w:r/>
            <w:r>
              <w:rPr>
                <w:rFonts w:ascii="Times New Roman" w:hAnsi="Times New Roman"/>
                <w:sz w:val="20"/>
              </w:rPr>
              <w:t>—</w:t>
            </w:r>
          </w:p>
        </w:tc>
        <w:tc>
          <w:tcPr>
            <w:tcW w:type="dxa" w:w="2340"/>
          </w:tcPr>
          <w:p>
            <w:pPr>
              <w:spacing w:line="276" w:lineRule="auto"/>
            </w:pPr>
            <w:r/>
            <w:r>
              <w:rPr>
                <w:rFonts w:ascii="Times New Roman" w:hAnsi="Times New Roman"/>
                <w:sz w:val="20"/>
              </w:rPr>
              <w:t>Revisión con tutor académica; ajustes finales</w:t>
            </w:r>
          </w:p>
        </w:tc>
        <w:tc>
          <w:tcPr>
            <w:tcW w:type="dxa" w:w="2340"/>
          </w:tcPr>
          <w:p>
            <w:pPr>
              <w:spacing w:line="276" w:lineRule="auto"/>
            </w:pPr>
            <w:r/>
            <w:r>
              <w:rPr>
                <w:rFonts w:ascii="Times New Roman" w:hAnsi="Times New Roman"/>
                <w:sz w:val="20"/>
              </w:rPr>
              <w:t>**Entrega final del proyecto integrador**</w:t>
            </w:r>
          </w:p>
        </w:tc>
      </w:tr>
      <w:tr>
        <w:tc>
          <w:tcPr>
            <w:tcW w:type="dxa" w:w="2340"/>
          </w:tcPr>
          <w:p>
            <w:pPr>
              <w:spacing w:line="276" w:lineRule="auto"/>
            </w:pPr>
            <w:r/>
            <w:r>
              <w:rPr>
                <w:rFonts w:ascii="Times New Roman" w:hAnsi="Times New Roman"/>
                <w:sz w:val="20"/>
              </w:rPr>
              <w:t>14</w:t>
            </w:r>
          </w:p>
        </w:tc>
        <w:tc>
          <w:tcPr>
            <w:tcW w:type="dxa" w:w="2340"/>
          </w:tcPr>
          <w:p>
            <w:pPr>
              <w:spacing w:line="276" w:lineRule="auto"/>
            </w:pPr>
            <w:r/>
            <w:r>
              <w:rPr>
                <w:rFonts w:ascii="Times New Roman" w:hAnsi="Times New Roman"/>
                <w:sz w:val="20"/>
              </w:rPr>
              <w:t>—</w:t>
            </w:r>
          </w:p>
        </w:tc>
        <w:tc>
          <w:tcPr>
            <w:tcW w:type="dxa" w:w="2340"/>
          </w:tcPr>
          <w:p>
            <w:pPr>
              <w:spacing w:line="276" w:lineRule="auto"/>
            </w:pPr>
            <w:r/>
            <w:r>
              <w:rPr>
                <w:rFonts w:ascii="Times New Roman" w:hAnsi="Times New Roman"/>
                <w:sz w:val="20"/>
              </w:rPr>
              <w:t>**Defensa del proyecto**</w:t>
            </w:r>
          </w:p>
        </w:tc>
        <w:tc>
          <w:tcPr>
            <w:tcW w:type="dxa" w:w="2340"/>
          </w:tcPr>
          <w:p>
            <w:pPr>
              <w:spacing w:line="276" w:lineRule="auto"/>
            </w:pPr>
            <w:r/>
            <w:r>
              <w:rPr>
                <w:rFonts w:ascii="Times New Roman" w:hAnsi="Times New Roman"/>
                <w:sz w:val="20"/>
              </w:rPr>
              <w:t>**Sustentación ante jurado**</w:t>
            </w:r>
          </w:p>
        </w:tc>
      </w:tr>
    </w:tbl>
    <w:p/>
    <w:p>
      <w:pPr>
        <w:pStyle w:val="Heading2"/>
      </w:pPr>
      <w:r>
        <w:t>3.13 Riesgos y Aspectos Éticos</w:t>
      </w:r>
    </w:p>
    <w:p>
      <w:pPr>
        <w:pStyle w:val="Heading3"/>
      </w:pPr>
      <w:r>
        <w:t>Tabla 4. Matriz de riesgos del proyecto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76" w:lineRule="auto"/>
            </w:pPr>
            <w:r/>
            <w:r>
              <w:rPr>
                <w:rFonts w:ascii="Times New Roman" w:hAnsi="Times New Roman"/>
                <w:b/>
                <w:sz w:val="20"/>
              </w:rPr>
              <w:t>Riesgo identificado</w:t>
            </w:r>
          </w:p>
        </w:tc>
        <w:tc>
          <w:tcPr>
            <w:tcW w:type="dxa" w:w="1872"/>
          </w:tcPr>
          <w:p>
            <w:pPr>
              <w:spacing w:line="276" w:lineRule="auto"/>
            </w:pPr>
            <w:r/>
            <w:r>
              <w:rPr>
                <w:rFonts w:ascii="Times New Roman" w:hAnsi="Times New Roman"/>
                <w:b/>
                <w:sz w:val="20"/>
              </w:rPr>
              <w:t>Categoría</w:t>
            </w:r>
          </w:p>
        </w:tc>
        <w:tc>
          <w:tcPr>
            <w:tcW w:type="dxa" w:w="1872"/>
          </w:tcPr>
          <w:p>
            <w:pPr>
              <w:spacing w:line="276" w:lineRule="auto"/>
            </w:pPr>
            <w:r/>
            <w:r>
              <w:rPr>
                <w:rFonts w:ascii="Times New Roman" w:hAnsi="Times New Roman"/>
                <w:b/>
                <w:sz w:val="20"/>
              </w:rPr>
              <w:t>Impacto potencial</w:t>
            </w:r>
          </w:p>
        </w:tc>
        <w:tc>
          <w:tcPr>
            <w:tcW w:type="dxa" w:w="1872"/>
          </w:tcPr>
          <w:p>
            <w:pPr>
              <w:spacing w:line="276" w:lineRule="auto"/>
            </w:pPr>
            <w:r/>
            <w:r>
              <w:rPr>
                <w:rFonts w:ascii="Times New Roman" w:hAnsi="Times New Roman"/>
                <w:b/>
                <w:sz w:val="20"/>
              </w:rPr>
              <w:t>Probabilidad</w:t>
            </w:r>
          </w:p>
        </w:tc>
        <w:tc>
          <w:tcPr>
            <w:tcW w:type="dxa" w:w="1872"/>
          </w:tcPr>
          <w:p>
            <w:pPr>
              <w:spacing w:line="276" w:lineRule="auto"/>
            </w:pPr>
            <w:r/>
            <w:r>
              <w:rPr>
                <w:rFonts w:ascii="Times New Roman" w:hAnsi="Times New Roman"/>
                <w:b/>
                <w:sz w:val="20"/>
              </w:rPr>
              <w:t>Estrategia de mitigación</w:t>
            </w:r>
          </w:p>
        </w:tc>
      </w:tr>
      <w:tr>
        <w:tc>
          <w:tcPr>
            <w:tcW w:type="dxa" w:w="1872"/>
          </w:tcPr>
          <w:p>
            <w:pPr>
              <w:spacing w:line="276" w:lineRule="auto"/>
            </w:pPr>
            <w:r/>
            <w:r>
              <w:rPr>
                <w:rFonts w:ascii="Times New Roman" w:hAnsi="Times New Roman"/>
                <w:sz w:val="20"/>
              </w:rPr>
              <w:t>Disponibilidad limitada de datos reales de la Matriz ARL</w:t>
            </w:r>
          </w:p>
        </w:tc>
        <w:tc>
          <w:tcPr>
            <w:tcW w:type="dxa" w:w="1872"/>
          </w:tcPr>
          <w:p>
            <w:pPr>
              <w:spacing w:line="276" w:lineRule="auto"/>
            </w:pPr>
            <w:r/>
            <w:r>
              <w:rPr>
                <w:rFonts w:ascii="Times New Roman" w:hAnsi="Times New Roman"/>
                <w:sz w:val="20"/>
              </w:rPr>
              <w:t>Técnico</w:t>
            </w:r>
          </w:p>
        </w:tc>
        <w:tc>
          <w:tcPr>
            <w:tcW w:type="dxa" w:w="1872"/>
          </w:tcPr>
          <w:p>
            <w:pPr>
              <w:spacing w:line="276" w:lineRule="auto"/>
            </w:pPr>
            <w:r/>
            <w:r>
              <w:rPr>
                <w:rFonts w:ascii="Times New Roman" w:hAnsi="Times New Roman"/>
                <w:sz w:val="20"/>
              </w:rPr>
              <w:t>No poder validar los KPIs con datos reales de producción</w:t>
            </w:r>
          </w:p>
        </w:tc>
        <w:tc>
          <w:tcPr>
            <w:tcW w:type="dxa" w:w="1872"/>
          </w:tcPr>
          <w:p>
            <w:pPr>
              <w:spacing w:line="276" w:lineRule="auto"/>
            </w:pPr>
            <w:r/>
            <w:r>
              <w:rPr>
                <w:rFonts w:ascii="Times New Roman" w:hAnsi="Times New Roman"/>
                <w:sz w:val="20"/>
              </w:rPr>
              <w:t>Media</w:t>
            </w:r>
          </w:p>
        </w:tc>
        <w:tc>
          <w:tcPr>
            <w:tcW w:type="dxa" w:w="1872"/>
          </w:tcPr>
          <w:p>
            <w:pPr>
              <w:spacing w:line="276" w:lineRule="auto"/>
            </w:pPr>
            <w:r/>
            <w:r>
              <w:rPr>
                <w:rFonts w:ascii="Times New Roman" w:hAnsi="Times New Roman"/>
                <w:sz w:val="20"/>
              </w:rPr>
              <w:t>Generación de datos sintéticos realistas basados en el catálogo real de 76 servicios SYSO; diseño ETL listo para recibir datos reales</w:t>
            </w:r>
          </w:p>
        </w:tc>
      </w:tr>
      <w:tr>
        <w:tc>
          <w:tcPr>
            <w:tcW w:type="dxa" w:w="1872"/>
          </w:tcPr>
          <w:p>
            <w:pPr>
              <w:spacing w:line="276" w:lineRule="auto"/>
            </w:pPr>
            <w:r/>
            <w:r>
              <w:rPr>
                <w:rFonts w:ascii="Times New Roman" w:hAnsi="Times New Roman"/>
                <w:sz w:val="20"/>
              </w:rPr>
              <w:t>Baja calidad de datos en la Matriz ARL (duplicados, campos vacíos, fechas inconsistentes)</w:t>
            </w:r>
          </w:p>
        </w:tc>
        <w:tc>
          <w:tcPr>
            <w:tcW w:type="dxa" w:w="1872"/>
          </w:tcPr>
          <w:p>
            <w:pPr>
              <w:spacing w:line="276" w:lineRule="auto"/>
            </w:pPr>
            <w:r/>
            <w:r>
              <w:rPr>
                <w:rFonts w:ascii="Times New Roman" w:hAnsi="Times New Roman"/>
                <w:sz w:val="20"/>
              </w:rPr>
              <w:t>Técnico</w:t>
            </w:r>
          </w:p>
        </w:tc>
        <w:tc>
          <w:tcPr>
            <w:tcW w:type="dxa" w:w="1872"/>
          </w:tcPr>
          <w:p>
            <w:pPr>
              <w:spacing w:line="276" w:lineRule="auto"/>
            </w:pPr>
            <w:r/>
            <w:r>
              <w:rPr>
                <w:rFonts w:ascii="Times New Roman" w:hAnsi="Times New Roman"/>
                <w:sz w:val="20"/>
              </w:rPr>
              <w:t>KPIs imprecisos; indicadores de tiempo no calculables</w:t>
            </w:r>
          </w:p>
        </w:tc>
        <w:tc>
          <w:tcPr>
            <w:tcW w:type="dxa" w:w="1872"/>
          </w:tcPr>
          <w:p>
            <w:pPr>
              <w:spacing w:line="276" w:lineRule="auto"/>
            </w:pPr>
            <w:r/>
            <w:r>
              <w:rPr>
                <w:rFonts w:ascii="Times New Roman" w:hAnsi="Times New Roman"/>
                <w:sz w:val="20"/>
              </w:rPr>
              <w:t>Alta</w:t>
            </w:r>
          </w:p>
        </w:tc>
        <w:tc>
          <w:tcPr>
            <w:tcW w:type="dxa" w:w="1872"/>
          </w:tcPr>
          <w:p>
            <w:pPr>
              <w:spacing w:line="276" w:lineRule="auto"/>
            </w:pPr>
            <w:r/>
            <w:r>
              <w:rPr>
                <w:rFonts w:ascii="Times New Roman" w:hAnsi="Times New Roman"/>
                <w:sz w:val="20"/>
              </w:rPr>
              <w:t>Proceso ETL con validación campo a campo; manejo de nulos con defaults; reporte de filas con errores al cargar</w:t>
            </w:r>
          </w:p>
        </w:tc>
      </w:tr>
      <w:tr>
        <w:tc>
          <w:tcPr>
            <w:tcW w:type="dxa" w:w="1872"/>
          </w:tcPr>
          <w:p>
            <w:pPr>
              <w:spacing w:line="276" w:lineRule="auto"/>
            </w:pPr>
            <w:r/>
            <w:r>
              <w:rPr>
                <w:rFonts w:ascii="Times New Roman" w:hAnsi="Times New Roman"/>
                <w:sz w:val="20"/>
              </w:rPr>
              <w:t>Ausencia de fechas de ejecución y facturación en registros históricos</w:t>
            </w:r>
          </w:p>
        </w:tc>
        <w:tc>
          <w:tcPr>
            <w:tcW w:type="dxa" w:w="1872"/>
          </w:tcPr>
          <w:p>
            <w:pPr>
              <w:spacing w:line="276" w:lineRule="auto"/>
            </w:pPr>
            <w:r/>
            <w:r>
              <w:rPr>
                <w:rFonts w:ascii="Times New Roman" w:hAnsi="Times New Roman"/>
                <w:sz w:val="20"/>
              </w:rPr>
              <w:t>Técnico</w:t>
            </w:r>
          </w:p>
        </w:tc>
        <w:tc>
          <w:tcPr>
            <w:tcW w:type="dxa" w:w="1872"/>
          </w:tcPr>
          <w:p>
            <w:pPr>
              <w:spacing w:line="276" w:lineRule="auto"/>
            </w:pPr>
            <w:r/>
            <w:r>
              <w:rPr>
                <w:rFonts w:ascii="Times New Roman" w:hAnsi="Times New Roman"/>
                <w:sz w:val="20"/>
              </w:rPr>
              <w:t>KPIs de tiempo (días facturación) con cobertura parcial</w:t>
            </w:r>
          </w:p>
        </w:tc>
        <w:tc>
          <w:tcPr>
            <w:tcW w:type="dxa" w:w="1872"/>
          </w:tcPr>
          <w:p>
            <w:pPr>
              <w:spacing w:line="276" w:lineRule="auto"/>
            </w:pPr>
            <w:r/>
            <w:r>
              <w:rPr>
                <w:rFonts w:ascii="Times New Roman" w:hAnsi="Times New Roman"/>
                <w:sz w:val="20"/>
              </w:rPr>
              <w:t>Alta</w:t>
            </w:r>
          </w:p>
        </w:tc>
        <w:tc>
          <w:tcPr>
            <w:tcW w:type="dxa" w:w="1872"/>
          </w:tcPr>
          <w:p>
            <w:pPr>
              <w:spacing w:line="276" w:lineRule="auto"/>
            </w:pPr>
            <w:r/>
            <w:r>
              <w:rPr>
                <w:rFonts w:ascii="Times New Roman" w:hAnsi="Times New Roman"/>
                <w:sz w:val="20"/>
              </w:rPr>
              <w:t>Los campos son opcionales; el KPI se calcula solo sobre registros con ambas fechas disponibles; se documenta el porcentaje de cobertura</w:t>
            </w:r>
          </w:p>
        </w:tc>
      </w:tr>
      <w:tr>
        <w:tc>
          <w:tcPr>
            <w:tcW w:type="dxa" w:w="1872"/>
          </w:tcPr>
          <w:p>
            <w:pPr>
              <w:spacing w:line="276" w:lineRule="auto"/>
            </w:pPr>
            <w:r/>
            <w:r>
              <w:rPr>
                <w:rFonts w:ascii="Times New Roman" w:hAnsi="Times New Roman"/>
                <w:sz w:val="20"/>
              </w:rPr>
              <w:t>Sobreajuste del modelo de regresión lineal</w:t>
            </w:r>
          </w:p>
        </w:tc>
        <w:tc>
          <w:tcPr>
            <w:tcW w:type="dxa" w:w="1872"/>
          </w:tcPr>
          <w:p>
            <w:pPr>
              <w:spacing w:line="276" w:lineRule="auto"/>
            </w:pPr>
            <w:r/>
            <w:r>
              <w:rPr>
                <w:rFonts w:ascii="Times New Roman" w:hAnsi="Times New Roman"/>
                <w:sz w:val="20"/>
              </w:rPr>
              <w:t>Analítico</w:t>
            </w:r>
          </w:p>
        </w:tc>
        <w:tc>
          <w:tcPr>
            <w:tcW w:type="dxa" w:w="1872"/>
          </w:tcPr>
          <w:p>
            <w:pPr>
              <w:spacing w:line="276" w:lineRule="auto"/>
            </w:pPr>
            <w:r/>
            <w:r>
              <w:rPr>
                <w:rFonts w:ascii="Times New Roman" w:hAnsi="Times New Roman"/>
                <w:sz w:val="20"/>
              </w:rPr>
              <w:t>Proyecciones de ingresos poco confiables</w:t>
            </w:r>
          </w:p>
        </w:tc>
        <w:tc>
          <w:tcPr>
            <w:tcW w:type="dxa" w:w="1872"/>
          </w:tcPr>
          <w:p>
            <w:pPr>
              <w:spacing w:line="276" w:lineRule="auto"/>
            </w:pPr>
            <w:r/>
            <w:r>
              <w:rPr>
                <w:rFonts w:ascii="Times New Roman" w:hAnsi="Times New Roman"/>
                <w:sz w:val="20"/>
              </w:rPr>
              <w:t>Baja</w:t>
            </w:r>
          </w:p>
        </w:tc>
        <w:tc>
          <w:tcPr>
            <w:tcW w:type="dxa" w:w="1872"/>
          </w:tcPr>
          <w:p>
            <w:pPr>
              <w:spacing w:line="276" w:lineRule="auto"/>
            </w:pPr>
            <w:r/>
            <w:r>
              <w:rPr>
                <w:rFonts w:ascii="Times New Roman" w:hAnsi="Times New Roman"/>
                <w:sz w:val="20"/>
              </w:rPr>
              <w:t>Modelo lineal simple (baja varianza); validación holdout con últimos 3 meses; restricción `max(0, ŷ)` para valores sin sentido</w:t>
            </w:r>
          </w:p>
        </w:tc>
      </w:tr>
      <w:tr>
        <w:tc>
          <w:tcPr>
            <w:tcW w:type="dxa" w:w="1872"/>
          </w:tcPr>
          <w:p>
            <w:pPr>
              <w:spacing w:line="276" w:lineRule="auto"/>
            </w:pPr>
            <w:r/>
            <w:r>
              <w:rPr>
                <w:rFonts w:ascii="Times New Roman" w:hAnsi="Times New Roman"/>
                <w:sz w:val="20"/>
              </w:rPr>
              <w:t>Sesgo en datos históricos por efecto COVID-19 (2020–2021)</w:t>
            </w:r>
          </w:p>
        </w:tc>
        <w:tc>
          <w:tcPr>
            <w:tcW w:type="dxa" w:w="1872"/>
          </w:tcPr>
          <w:p>
            <w:pPr>
              <w:spacing w:line="276" w:lineRule="auto"/>
            </w:pPr>
            <w:r/>
            <w:r>
              <w:rPr>
                <w:rFonts w:ascii="Times New Roman" w:hAnsi="Times New Roman"/>
                <w:sz w:val="20"/>
              </w:rPr>
              <w:t>Analítico</w:t>
            </w:r>
          </w:p>
        </w:tc>
        <w:tc>
          <w:tcPr>
            <w:tcW w:type="dxa" w:w="1872"/>
          </w:tcPr>
          <w:p>
            <w:pPr>
              <w:spacing w:line="276" w:lineRule="auto"/>
            </w:pPr>
            <w:r/>
            <w:r>
              <w:rPr>
                <w:rFonts w:ascii="Times New Roman" w:hAnsi="Times New Roman"/>
                <w:sz w:val="20"/>
              </w:rPr>
              <w:t>Tendencias distorsionadas por baja actividad atípica</w:t>
            </w:r>
          </w:p>
        </w:tc>
        <w:tc>
          <w:tcPr>
            <w:tcW w:type="dxa" w:w="1872"/>
          </w:tcPr>
          <w:p>
            <w:pPr>
              <w:spacing w:line="276" w:lineRule="auto"/>
            </w:pPr>
            <w:r/>
            <w:r>
              <w:rPr>
                <w:rFonts w:ascii="Times New Roman" w:hAnsi="Times New Roman"/>
                <w:sz w:val="20"/>
              </w:rPr>
              <w:t>Media</w:t>
            </w:r>
          </w:p>
        </w:tc>
        <w:tc>
          <w:tcPr>
            <w:tcW w:type="dxa" w:w="1872"/>
          </w:tcPr>
          <w:p>
            <w:pPr>
              <w:spacing w:line="276" w:lineRule="auto"/>
            </w:pPr>
            <w:r/>
            <w:r>
              <w:rPr>
                <w:rFonts w:ascii="Times New Roman" w:hAnsi="Times New Roman"/>
                <w:sz w:val="20"/>
              </w:rPr>
              <w:t>Parametrización de meses históricos para la regresión (configurable: 6, 12 o 24 meses); el usuario puede excluir períodos atípicos</w:t>
            </w:r>
          </w:p>
        </w:tc>
      </w:tr>
      <w:tr>
        <w:tc>
          <w:tcPr>
            <w:tcW w:type="dxa" w:w="1872"/>
          </w:tcPr>
          <w:p>
            <w:pPr>
              <w:spacing w:line="276" w:lineRule="auto"/>
            </w:pPr>
            <w:r/>
            <w:r>
              <w:rPr>
                <w:rFonts w:ascii="Times New Roman" w:hAnsi="Times New Roman"/>
                <w:sz w:val="20"/>
              </w:rPr>
              <w:t>Exposición de datos sensibles de pacientes o empresas</w:t>
            </w:r>
          </w:p>
        </w:tc>
        <w:tc>
          <w:tcPr>
            <w:tcW w:type="dxa" w:w="1872"/>
          </w:tcPr>
          <w:p>
            <w:pPr>
              <w:spacing w:line="276" w:lineRule="auto"/>
            </w:pPr>
            <w:r/>
            <w:r>
              <w:rPr>
                <w:rFonts w:ascii="Times New Roman" w:hAnsi="Times New Roman"/>
                <w:sz w:val="20"/>
              </w:rPr>
              <w:t>Ético / Legal</w:t>
            </w:r>
          </w:p>
        </w:tc>
        <w:tc>
          <w:tcPr>
            <w:tcW w:type="dxa" w:w="1872"/>
          </w:tcPr>
          <w:p>
            <w:pPr>
              <w:spacing w:line="276" w:lineRule="auto"/>
            </w:pPr>
            <w:r/>
            <w:r>
              <w:rPr>
                <w:rFonts w:ascii="Times New Roman" w:hAnsi="Times New Roman"/>
                <w:sz w:val="20"/>
              </w:rPr>
              <w:t>Sanción bajo Ley 1581 de 2012; daño reputacional de la IPS</w:t>
            </w:r>
          </w:p>
        </w:tc>
        <w:tc>
          <w:tcPr>
            <w:tcW w:type="dxa" w:w="1872"/>
          </w:tcPr>
          <w:p>
            <w:pPr>
              <w:spacing w:line="276" w:lineRule="auto"/>
            </w:pPr>
            <w:r/>
            <w:r>
              <w:rPr>
                <w:rFonts w:ascii="Times New Roman" w:hAnsi="Times New Roman"/>
                <w:sz w:val="20"/>
              </w:rPr>
              <w:t>Baja</w:t>
            </w:r>
          </w:p>
        </w:tc>
        <w:tc>
          <w:tcPr>
            <w:tcW w:type="dxa" w:w="1872"/>
          </w:tcPr>
          <w:p>
            <w:pPr>
              <w:spacing w:line="276" w:lineRule="auto"/>
            </w:pPr>
            <w:r/>
            <w:r>
              <w:rPr>
                <w:rFonts w:ascii="Times New Roman" w:hAnsi="Times New Roman"/>
                <w:sz w:val="20"/>
              </w:rPr>
              <w:t>Datos sintéticos en producción pública; autenticación obligatoria; SECRET_KEY aleatoria generada por Render; sin persistencia de datos en disco</w:t>
            </w:r>
          </w:p>
        </w:tc>
      </w:tr>
      <w:tr>
        <w:tc>
          <w:tcPr>
            <w:tcW w:type="dxa" w:w="1872"/>
          </w:tcPr>
          <w:p>
            <w:pPr>
              <w:spacing w:line="276" w:lineRule="auto"/>
            </w:pPr>
            <w:r/>
            <w:r>
              <w:rPr>
                <w:rFonts w:ascii="Times New Roman" w:hAnsi="Times New Roman"/>
                <w:sz w:val="20"/>
              </w:rPr>
              <w:t>Decisiones automatizadas injustas basadas en indicadores</w:t>
            </w:r>
          </w:p>
        </w:tc>
        <w:tc>
          <w:tcPr>
            <w:tcW w:type="dxa" w:w="1872"/>
          </w:tcPr>
          <w:p>
            <w:pPr>
              <w:spacing w:line="276" w:lineRule="auto"/>
            </w:pPr>
            <w:r/>
            <w:r>
              <w:rPr>
                <w:rFonts w:ascii="Times New Roman" w:hAnsi="Times New Roman"/>
                <w:sz w:val="20"/>
              </w:rPr>
              <w:t>Ético</w:t>
            </w:r>
          </w:p>
        </w:tc>
        <w:tc>
          <w:tcPr>
            <w:tcW w:type="dxa" w:w="1872"/>
          </w:tcPr>
          <w:p>
            <w:pPr>
              <w:spacing w:line="276" w:lineRule="auto"/>
            </w:pPr>
            <w:r/>
            <w:r>
              <w:rPr>
                <w:rFonts w:ascii="Times New Roman" w:hAnsi="Times New Roman"/>
                <w:sz w:val="20"/>
              </w:rPr>
              <w:t>Evaluación inequitativa de ARLs o responsables</w:t>
            </w:r>
          </w:p>
        </w:tc>
        <w:tc>
          <w:tcPr>
            <w:tcW w:type="dxa" w:w="1872"/>
          </w:tcPr>
          <w:p>
            <w:pPr>
              <w:spacing w:line="276" w:lineRule="auto"/>
            </w:pPr>
            <w:r/>
            <w:r>
              <w:rPr>
                <w:rFonts w:ascii="Times New Roman" w:hAnsi="Times New Roman"/>
                <w:sz w:val="20"/>
              </w:rPr>
              <w:t>Baja</w:t>
            </w:r>
          </w:p>
        </w:tc>
        <w:tc>
          <w:tcPr>
            <w:tcW w:type="dxa" w:w="1872"/>
          </w:tcPr>
          <w:p>
            <w:pPr>
              <w:spacing w:line="276" w:lineRule="auto"/>
            </w:pPr>
            <w:r/>
            <w:r>
              <w:rPr>
                <w:rFonts w:ascii="Times New Roman" w:hAnsi="Times New Roman"/>
                <w:sz w:val="20"/>
              </w:rPr>
              <w:t>Los indicadores son informativos, no decisorios automáticos; el tablero presenta datos, no recomendaciones vinculantes</w:t>
            </w:r>
          </w:p>
        </w:tc>
      </w:tr>
      <w:tr>
        <w:tc>
          <w:tcPr>
            <w:tcW w:type="dxa" w:w="1872"/>
          </w:tcPr>
          <w:p>
            <w:pPr>
              <w:spacing w:line="276" w:lineRule="auto"/>
            </w:pPr>
            <w:r/>
            <w:r>
              <w:rPr>
                <w:rFonts w:ascii="Times New Roman" w:hAnsi="Times New Roman"/>
                <w:sz w:val="20"/>
              </w:rPr>
              <w:t>Dependencia de infraestructura gratuita (Render free tier)</w:t>
            </w:r>
          </w:p>
        </w:tc>
        <w:tc>
          <w:tcPr>
            <w:tcW w:type="dxa" w:w="1872"/>
          </w:tcPr>
          <w:p>
            <w:pPr>
              <w:spacing w:line="276" w:lineRule="auto"/>
            </w:pPr>
            <w:r/>
            <w:r>
              <w:rPr>
                <w:rFonts w:ascii="Times New Roman" w:hAnsi="Times New Roman"/>
                <w:sz w:val="20"/>
              </w:rPr>
              <w:t>Operativo</w:t>
            </w:r>
          </w:p>
        </w:tc>
        <w:tc>
          <w:tcPr>
            <w:tcW w:type="dxa" w:w="1872"/>
          </w:tcPr>
          <w:p>
            <w:pPr>
              <w:spacing w:line="276" w:lineRule="auto"/>
            </w:pPr>
            <w:r/>
            <w:r>
              <w:rPr>
                <w:rFonts w:ascii="Times New Roman" w:hAnsi="Times New Roman"/>
                <w:sz w:val="20"/>
              </w:rPr>
              <w:t>Caídas del servicio; latencia elevada en carga inicial</w:t>
            </w:r>
          </w:p>
        </w:tc>
        <w:tc>
          <w:tcPr>
            <w:tcW w:type="dxa" w:w="1872"/>
          </w:tcPr>
          <w:p>
            <w:pPr>
              <w:spacing w:line="276" w:lineRule="auto"/>
            </w:pPr>
            <w:r/>
            <w:r>
              <w:rPr>
                <w:rFonts w:ascii="Times New Roman" w:hAnsi="Times New Roman"/>
                <w:sz w:val="20"/>
              </w:rPr>
              <w:t>Media</w:t>
            </w:r>
          </w:p>
        </w:tc>
        <w:tc>
          <w:tcPr>
            <w:tcW w:type="dxa" w:w="1872"/>
          </w:tcPr>
          <w:p>
            <w:pPr>
              <w:spacing w:line="276" w:lineRule="auto"/>
            </w:pPr>
            <w:r/>
            <w:r>
              <w:rPr>
                <w:rFonts w:ascii="Times New Roman" w:hAnsi="Times New Roman"/>
                <w:sz w:val="20"/>
              </w:rPr>
              <w:t>Documentación del proceso de migración a plan de pago; arquitectura stateless que facilita el cambio de proveedor</w:t>
            </w:r>
          </w:p>
        </w:tc>
      </w:tr>
      <w:tr>
        <w:tc>
          <w:tcPr>
            <w:tcW w:type="dxa" w:w="1872"/>
          </w:tcPr>
          <w:p>
            <w:pPr>
              <w:spacing w:line="276" w:lineRule="auto"/>
            </w:pPr>
            <w:r/>
            <w:r>
              <w:rPr>
                <w:rFonts w:ascii="Times New Roman" w:hAnsi="Times New Roman"/>
                <w:sz w:val="20"/>
              </w:rPr>
              <w:t>Resistencia al cambio del personal administrativo</w:t>
            </w:r>
          </w:p>
        </w:tc>
        <w:tc>
          <w:tcPr>
            <w:tcW w:type="dxa" w:w="1872"/>
          </w:tcPr>
          <w:p>
            <w:pPr>
              <w:spacing w:line="276" w:lineRule="auto"/>
            </w:pPr>
            <w:r/>
            <w:r>
              <w:rPr>
                <w:rFonts w:ascii="Times New Roman" w:hAnsi="Times New Roman"/>
                <w:sz w:val="20"/>
              </w:rPr>
              <w:t>Organizacional</w:t>
            </w:r>
          </w:p>
        </w:tc>
        <w:tc>
          <w:tcPr>
            <w:tcW w:type="dxa" w:w="1872"/>
          </w:tcPr>
          <w:p>
            <w:pPr>
              <w:spacing w:line="276" w:lineRule="auto"/>
            </w:pPr>
            <w:r/>
            <w:r>
              <w:rPr>
                <w:rFonts w:ascii="Times New Roman" w:hAnsi="Times New Roman"/>
                <w:sz w:val="20"/>
              </w:rPr>
              <w:t>Baja adopción del tablero; retorno al uso de Excel</w:t>
            </w:r>
          </w:p>
        </w:tc>
        <w:tc>
          <w:tcPr>
            <w:tcW w:type="dxa" w:w="1872"/>
          </w:tcPr>
          <w:p>
            <w:pPr>
              <w:spacing w:line="276" w:lineRule="auto"/>
            </w:pPr>
            <w:r/>
            <w:r>
              <w:rPr>
                <w:rFonts w:ascii="Times New Roman" w:hAnsi="Times New Roman"/>
                <w:sz w:val="20"/>
              </w:rPr>
              <w:t>Media</w:t>
            </w:r>
          </w:p>
        </w:tc>
        <w:tc>
          <w:tcPr>
            <w:tcW w:type="dxa" w:w="1872"/>
          </w:tcPr>
          <w:p>
            <w:pPr>
              <w:spacing w:line="276" w:lineRule="auto"/>
            </w:pPr>
            <w:r/>
            <w:r>
              <w:rPr>
                <w:rFonts w:ascii="Times New Roman" w:hAnsi="Times New Roman"/>
                <w:sz w:val="20"/>
              </w:rPr>
              <w:t>Interfaz intuitiva sin curva de aprendizaje; filtros familiares; exportación Excel para transición gradual</w:t>
            </w:r>
          </w:p>
        </w:tc>
      </w:tr>
    </w:tbl>
    <w:p/>
    <w:p>
      <w:pPr>
        <w:pStyle w:val="Heading2"/>
      </w:pPr>
      <w:r>
        <w:t>3.14 Referencias</w:t>
      </w:r>
    </w:p>
    <w:p>
      <w:r>
        <w:t xml:space="preserve">Chapman, P., Clinton, J., Kerber, R., Khabaza, T., Reinartz, T., Shearer, C., &amp; Wirth, R. (2000). </w:t>
      </w:r>
      <w:r>
        <w:rPr>
          <w:i/>
        </w:rPr>
        <w:t>CRISP-DM 1.0: Step-by-step data mining guide</w:t>
      </w:r>
      <w:r>
        <w:t>. SPSS Inc. https://www.the-modeling-agency.com/crisp-dm.pdf</w:t>
      </w:r>
    </w:p>
    <w:p>
      <w:r>
        <w:t xml:space="preserve">Chaudhuri, S., Dayal, U., &amp; Narasayya, V. (2011). An overview of business intelligence technology. </w:t>
      </w:r>
      <w:r>
        <w:rPr>
          <w:i/>
        </w:rPr>
        <w:t>Communications of the ACM</w:t>
      </w:r>
      <w:r>
        <w:t xml:space="preserve">, </w:t>
      </w:r>
      <w:r>
        <w:rPr>
          <w:i/>
        </w:rPr>
        <w:t>54</w:t>
      </w:r>
      <w:r>
        <w:t>(8), 88–98. https://doi.org/10.1145/1978542.1978562</w:t>
      </w:r>
    </w:p>
    <w:p>
      <w:r>
        <w:t xml:space="preserve">Congreso de la República de Colombia. (2012). </w:t>
      </w:r>
      <w:r>
        <w:rPr>
          <w:i/>
        </w:rPr>
        <w:t>Ley 1581 de 2012, por la cual se dictan disposiciones generales para la protección de datos personales</w:t>
      </w:r>
      <w:r>
        <w:t>. Diario Oficial 48587. https://www.funcionpublica.gov.co/eva/gestornormativo/norma.php?i=49981</w:t>
      </w:r>
    </w:p>
    <w:p>
      <w:r>
        <w:t xml:space="preserve">Few, S. (2012). </w:t>
      </w:r>
      <w:r>
        <w:rPr>
          <w:i/>
        </w:rPr>
        <w:t>Show me the numbers: Designing tables and graphs to enlighten</w:t>
      </w:r>
      <w:r>
        <w:t xml:space="preserve"> (2.ª ed.). Analytics Press.</w:t>
      </w:r>
    </w:p>
    <w:p>
      <w:r>
        <w:t xml:space="preserve">Hastie, T., Tibshirani, R., &amp; Friedman, J. (2009). </w:t>
      </w:r>
      <w:r>
        <w:rPr>
          <w:i/>
        </w:rPr>
        <w:t>The elements of statistical learning: Data mining, inference, and prediction</w:t>
      </w:r>
      <w:r>
        <w:t xml:space="preserve"> (2.ª ed.). Springer. https://hastie.su.domains/ElemStatLearn/</w:t>
      </w:r>
    </w:p>
    <w:p>
      <w:r>
        <w:t xml:space="preserve">Martin, R. C. (2003). </w:t>
      </w:r>
      <w:r>
        <w:rPr>
          <w:i/>
        </w:rPr>
        <w:t>Agile software development, principles, patterns, and practices</w:t>
      </w:r>
      <w:r>
        <w:t>. Pearson.</w:t>
      </w:r>
    </w:p>
    <w:p>
      <w:r>
        <w:t xml:space="preserve">Ministerio de Salud y Protección Social. (2019). </w:t>
      </w:r>
      <w:r>
        <w:rPr>
          <w:i/>
        </w:rPr>
        <w:t>Resolución 3100 del 25 de noviembre de 2019, por la cual se definen los procedimientos y condiciones de inscripción de los prestadores de servicios de salud</w:t>
      </w:r>
      <w:r>
        <w:t>. https://www.minsalud.gov.co/Normatividad_Nuevo/Resolución-3100-de-2019.pdf</w:t>
      </w:r>
    </w:p>
    <w:p>
      <w:r>
        <w:t xml:space="preserve">Montgomery, D. C., Peck, E. A., &amp; Vining, G. G. (2012). </w:t>
      </w:r>
      <w:r>
        <w:rPr>
          <w:i/>
        </w:rPr>
        <w:t>Introduction to linear regression analysis</w:t>
      </w:r>
      <w:r>
        <w:t xml:space="preserve"> (5.ª ed.). Wiley.</w:t>
      </w:r>
    </w:p>
    <w:p>
      <w:r>
        <w:t xml:space="preserve">SYSO Empresarial S.A.S. (2026). </w:t>
      </w:r>
      <w:r>
        <w:rPr>
          <w:i/>
        </w:rPr>
        <w:t>Matriz de Gestión ARL 2026</w:t>
      </w:r>
      <w:r>
        <w:t xml:space="preserve"> (MAT-ARL-001, versión 03) [Documento interno]. SYSO Empresarial &amp; Laboratorio Clínico.</w:t>
      </w:r>
    </w:p>
    <w:p>
      <w:r/>
      <w:r>
        <w:rPr>
          <w:i/>
        </w:rPr>
        <w:t xml:space="preserve">Nota general sobre las notas al pie: Cada nota marcada con superíndice (¹, ², ³...) debe insertarse en Microsoft Word usando: </w:t>
      </w:r>
      <w:r/>
      <w:r>
        <w:rPr>
          <w:i/>
        </w:rPr>
        <w:t>Referencias → Insertar nota al pie</w:t>
      </w:r>
      <w:r/>
      <w:r>
        <w:rPr>
          <w:i/>
        </w:rPr>
        <w:t xml:space="preserve"> (Alt + Ctrl + F en Windows). El texto de cada nota está incluido inmediatamente después del párrafo correspondiente.</w:t>
      </w:r>
      <w:r/>
    </w:p>
    <w:p>
      <w:r/>
      <w:r>
        <w:rPr>
          <w:i/>
        </w:rPr>
        <w:t>Especialización en Analítica de Datos e Información — Fundación Universitaria Tecnológico Comfenalco · Semestre I 2026</w:t>
      </w:r>
      <w:r/>
    </w:p>
    <w:p>
      <w:r/>
      <w:r>
        <w:rPr>
          <w:i/>
        </w:rPr>
        <w:t>© 2026 SYSO EMPRESARIAL S.A.S.</w:t>
      </w:r>
      <w:r/>
    </w:p>
    <w:p>
      <w:r>
        <w:br w:type="page"/>
      </w:r>
    </w:p>
    <w:p>
      <w:pPr>
        <w:pStyle w:val="Heading1"/>
      </w:pPr>
      <w:r>
        <w:t>Capítulo IV. Desarrollo y Resultados</w:t>
      </w:r>
    </w:p>
    <w:p>
      <w:pPr>
        <w:pStyle w:val="Heading2"/>
      </w:pPr>
      <w:r>
        <w:t>Diseño de una Solución de Inteligencia de Negocios para la Gestión de Órdenes de Servicio ARL en la IPS SYSO Empresarial S.A.S.</w:t>
      </w:r>
    </w:p>
    <w:p>
      <w:pPr>
        <w:pStyle w:val="Heading2"/>
      </w:pPr>
      <w:r>
        <w:t>4.1 Recolección y Preparación de los Datos</w:t>
      </w:r>
    </w:p>
    <w:p>
      <w:pPr>
        <w:pStyle w:val="Heading3"/>
      </w:pPr>
      <w:r>
        <w:t>4.1.1 Fuentes de Datos</w:t>
      </w:r>
    </w:p>
    <w:p>
      <w:r>
        <w:t>Los datos del proyecto provienen exclusivamente de fuentes internas de la IPS SYSO Empresarial: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76" w:lineRule="auto"/>
            </w:pPr>
            <w:r/>
            <w:r>
              <w:rPr>
                <w:rFonts w:ascii="Times New Roman" w:hAnsi="Times New Roman"/>
                <w:b/>
                <w:sz w:val="20"/>
              </w:rPr>
              <w:t>Fuente</w:t>
            </w:r>
          </w:p>
        </w:tc>
        <w:tc>
          <w:tcPr>
            <w:tcW w:type="dxa" w:w="1872"/>
          </w:tcPr>
          <w:p>
            <w:pPr>
              <w:spacing w:line="276" w:lineRule="auto"/>
            </w:pPr>
            <w:r/>
            <w:r>
              <w:rPr>
                <w:rFonts w:ascii="Times New Roman" w:hAnsi="Times New Roman"/>
                <w:b/>
                <w:sz w:val="20"/>
              </w:rPr>
              <w:t>Tipo</w:t>
            </w:r>
          </w:p>
        </w:tc>
        <w:tc>
          <w:tcPr>
            <w:tcW w:type="dxa" w:w="1872"/>
          </w:tcPr>
          <w:p>
            <w:pPr>
              <w:spacing w:line="276" w:lineRule="auto"/>
            </w:pPr>
            <w:r/>
            <w:r>
              <w:rPr>
                <w:rFonts w:ascii="Times New Roman" w:hAnsi="Times New Roman"/>
                <w:b/>
                <w:sz w:val="20"/>
              </w:rPr>
              <w:t>Formato</w:t>
            </w:r>
          </w:p>
        </w:tc>
        <w:tc>
          <w:tcPr>
            <w:tcW w:type="dxa" w:w="1872"/>
          </w:tcPr>
          <w:p>
            <w:pPr>
              <w:spacing w:line="276" w:lineRule="auto"/>
            </w:pPr>
            <w:r/>
            <w:r>
              <w:rPr>
                <w:rFonts w:ascii="Times New Roman" w:hAnsi="Times New Roman"/>
                <w:b/>
                <w:sz w:val="20"/>
              </w:rPr>
              <w:t>Registros</w:t>
            </w:r>
          </w:p>
        </w:tc>
        <w:tc>
          <w:tcPr>
            <w:tcW w:type="dxa" w:w="1872"/>
          </w:tcPr>
          <w:p>
            <w:pPr>
              <w:spacing w:line="276" w:lineRule="auto"/>
            </w:pPr>
            <w:r/>
            <w:r>
              <w:rPr>
                <w:rFonts w:ascii="Times New Roman" w:hAnsi="Times New Roman"/>
                <w:b/>
                <w:sz w:val="20"/>
              </w:rPr>
              <w:t>Periodo</w:t>
            </w:r>
          </w:p>
        </w:tc>
      </w:tr>
      <w:tr>
        <w:tc>
          <w:tcPr>
            <w:tcW w:type="dxa" w:w="1872"/>
          </w:tcPr>
          <w:p>
            <w:pPr>
              <w:spacing w:line="276" w:lineRule="auto"/>
            </w:pPr>
            <w:r/>
            <w:r>
              <w:rPr>
                <w:rFonts w:ascii="Times New Roman" w:hAnsi="Times New Roman"/>
                <w:sz w:val="20"/>
              </w:rPr>
              <w:t>Matriz de Gestión ARL 2026 (MAT-ARL-001 v03)</w:t>
            </w:r>
          </w:p>
        </w:tc>
        <w:tc>
          <w:tcPr>
            <w:tcW w:type="dxa" w:w="1872"/>
          </w:tcPr>
          <w:p>
            <w:pPr>
              <w:spacing w:line="276" w:lineRule="auto"/>
            </w:pPr>
            <w:r/>
            <w:r>
              <w:rPr>
                <w:rFonts w:ascii="Times New Roman" w:hAnsi="Times New Roman"/>
                <w:sz w:val="20"/>
              </w:rPr>
              <w:t>Primaria interna</w:t>
            </w:r>
          </w:p>
        </w:tc>
        <w:tc>
          <w:tcPr>
            <w:tcW w:type="dxa" w:w="1872"/>
          </w:tcPr>
          <w:p>
            <w:pPr>
              <w:spacing w:line="276" w:lineRule="auto"/>
            </w:pPr>
            <w:r/>
            <w:r>
              <w:rPr>
                <w:rFonts w:ascii="Times New Roman" w:hAnsi="Times New Roman"/>
                <w:sz w:val="20"/>
              </w:rPr>
              <w:t>Excel .xlsx</w:t>
            </w:r>
          </w:p>
        </w:tc>
        <w:tc>
          <w:tcPr>
            <w:tcW w:type="dxa" w:w="1872"/>
          </w:tcPr>
          <w:p>
            <w:pPr>
              <w:spacing w:line="276" w:lineRule="auto"/>
            </w:pPr>
            <w:r/>
            <w:r>
              <w:rPr>
                <w:rFonts w:ascii="Times New Roman" w:hAnsi="Times New Roman"/>
                <w:sz w:val="20"/>
              </w:rPr>
              <w:t>45.000</w:t>
            </w:r>
          </w:p>
        </w:tc>
        <w:tc>
          <w:tcPr>
            <w:tcW w:type="dxa" w:w="1872"/>
          </w:tcPr>
          <w:p>
            <w:pPr>
              <w:spacing w:line="276" w:lineRule="auto"/>
            </w:pPr>
            <w:r/>
            <w:r>
              <w:rPr>
                <w:rFonts w:ascii="Times New Roman" w:hAnsi="Times New Roman"/>
                <w:sz w:val="20"/>
              </w:rPr>
              <w:t>2020–2026</w:t>
            </w:r>
          </w:p>
        </w:tc>
      </w:tr>
      <w:tr>
        <w:tc>
          <w:tcPr>
            <w:tcW w:type="dxa" w:w="1872"/>
          </w:tcPr>
          <w:p>
            <w:pPr>
              <w:spacing w:line="276" w:lineRule="auto"/>
            </w:pPr>
            <w:r/>
            <w:r>
              <w:rPr>
                <w:rFonts w:ascii="Times New Roman" w:hAnsi="Times New Roman"/>
                <w:sz w:val="20"/>
              </w:rPr>
              <w:t>Catálogo de servicios SYSO</w:t>
            </w:r>
          </w:p>
        </w:tc>
        <w:tc>
          <w:tcPr>
            <w:tcW w:type="dxa" w:w="1872"/>
          </w:tcPr>
          <w:p>
            <w:pPr>
              <w:spacing w:line="276" w:lineRule="auto"/>
            </w:pPr>
            <w:r/>
            <w:r>
              <w:rPr>
                <w:rFonts w:ascii="Times New Roman" w:hAnsi="Times New Roman"/>
                <w:sz w:val="20"/>
              </w:rPr>
              <w:t>Primaria interna</w:t>
            </w:r>
          </w:p>
        </w:tc>
        <w:tc>
          <w:tcPr>
            <w:tcW w:type="dxa" w:w="1872"/>
          </w:tcPr>
          <w:p>
            <w:pPr>
              <w:spacing w:line="276" w:lineRule="auto"/>
            </w:pPr>
            <w:r/>
            <w:r>
              <w:rPr>
                <w:rFonts w:ascii="Times New Roman" w:hAnsi="Times New Roman"/>
                <w:sz w:val="20"/>
              </w:rPr>
              <w:t>Tabla estructurada</w:t>
            </w:r>
          </w:p>
        </w:tc>
        <w:tc>
          <w:tcPr>
            <w:tcW w:type="dxa" w:w="1872"/>
          </w:tcPr>
          <w:p>
            <w:pPr>
              <w:spacing w:line="276" w:lineRule="auto"/>
            </w:pPr>
            <w:r/>
            <w:r>
              <w:rPr>
                <w:rFonts w:ascii="Times New Roman" w:hAnsi="Times New Roman"/>
                <w:sz w:val="20"/>
              </w:rPr>
              <w:t>76 servicios</w:t>
            </w:r>
          </w:p>
        </w:tc>
        <w:tc>
          <w:tcPr>
            <w:tcW w:type="dxa" w:w="1872"/>
          </w:tcPr>
          <w:p>
            <w:pPr>
              <w:spacing w:line="276" w:lineRule="auto"/>
            </w:pPr>
            <w:r/>
            <w:r>
              <w:rPr>
                <w:rFonts w:ascii="Times New Roman" w:hAnsi="Times New Roman"/>
                <w:sz w:val="20"/>
              </w:rPr>
              <w:t>Vigente</w:t>
            </w:r>
          </w:p>
        </w:tc>
      </w:tr>
      <w:tr>
        <w:tc>
          <w:tcPr>
            <w:tcW w:type="dxa" w:w="1872"/>
          </w:tcPr>
          <w:p>
            <w:pPr>
              <w:spacing w:line="276" w:lineRule="auto"/>
            </w:pPr>
            <w:r/>
            <w:r>
              <w:rPr>
                <w:rFonts w:ascii="Times New Roman" w:hAnsi="Times New Roman"/>
                <w:sz w:val="20"/>
              </w:rPr>
              <w:t>Portales de ARL (Sura, Colmena, Bolívar, Alfa)</w:t>
            </w:r>
          </w:p>
        </w:tc>
        <w:tc>
          <w:tcPr>
            <w:tcW w:type="dxa" w:w="1872"/>
          </w:tcPr>
          <w:p>
            <w:pPr>
              <w:spacing w:line="276" w:lineRule="auto"/>
            </w:pPr>
            <w:r/>
            <w:r>
              <w:rPr>
                <w:rFonts w:ascii="Times New Roman" w:hAnsi="Times New Roman"/>
                <w:sz w:val="20"/>
              </w:rPr>
              <w:t>Primaria externa</w:t>
            </w:r>
          </w:p>
        </w:tc>
        <w:tc>
          <w:tcPr>
            <w:tcW w:type="dxa" w:w="1872"/>
          </w:tcPr>
          <w:p>
            <w:pPr>
              <w:spacing w:line="276" w:lineRule="auto"/>
            </w:pPr>
            <w:r/>
            <w:r>
              <w:rPr>
                <w:rFonts w:ascii="Times New Roman" w:hAnsi="Times New Roman"/>
                <w:sz w:val="20"/>
              </w:rPr>
              <w:t>Descarga manual</w:t>
            </w:r>
          </w:p>
        </w:tc>
        <w:tc>
          <w:tcPr>
            <w:tcW w:type="dxa" w:w="1872"/>
          </w:tcPr>
          <w:p>
            <w:pPr>
              <w:spacing w:line="276" w:lineRule="auto"/>
            </w:pPr>
            <w:r/>
            <w:r>
              <w:rPr>
                <w:rFonts w:ascii="Times New Roman" w:hAnsi="Times New Roman"/>
                <w:sz w:val="20"/>
              </w:rPr>
              <w:t>Variable</w:t>
            </w:r>
          </w:p>
        </w:tc>
        <w:tc>
          <w:tcPr>
            <w:tcW w:type="dxa" w:w="1872"/>
          </w:tcPr>
          <w:p>
            <w:pPr>
              <w:spacing w:line="276" w:lineRule="auto"/>
            </w:pPr>
            <w:r/>
            <w:r>
              <w:rPr>
                <w:rFonts w:ascii="Times New Roman" w:hAnsi="Times New Roman"/>
                <w:sz w:val="20"/>
              </w:rPr>
              <w:t>Continuo</w:t>
            </w:r>
          </w:p>
        </w:tc>
      </w:tr>
      <w:tr>
        <w:tc>
          <w:tcPr>
            <w:tcW w:type="dxa" w:w="1872"/>
          </w:tcPr>
          <w:p>
            <w:pPr>
              <w:spacing w:line="276" w:lineRule="auto"/>
            </w:pPr>
            <w:r/>
            <w:r>
              <w:rPr>
                <w:rFonts w:ascii="Times New Roman" w:hAnsi="Times New Roman"/>
                <w:sz w:val="20"/>
              </w:rPr>
              <w:t>Reportes de facturación por ARL</w:t>
            </w:r>
          </w:p>
        </w:tc>
        <w:tc>
          <w:tcPr>
            <w:tcW w:type="dxa" w:w="1872"/>
          </w:tcPr>
          <w:p>
            <w:pPr>
              <w:spacing w:line="276" w:lineRule="auto"/>
            </w:pPr>
            <w:r/>
            <w:r>
              <w:rPr>
                <w:rFonts w:ascii="Times New Roman" w:hAnsi="Times New Roman"/>
                <w:sz w:val="20"/>
              </w:rPr>
              <w:t>Primaria interna</w:t>
            </w:r>
          </w:p>
        </w:tc>
        <w:tc>
          <w:tcPr>
            <w:tcW w:type="dxa" w:w="1872"/>
          </w:tcPr>
          <w:p>
            <w:pPr>
              <w:spacing w:line="276" w:lineRule="auto"/>
            </w:pPr>
            <w:r/>
            <w:r>
              <w:rPr>
                <w:rFonts w:ascii="Times New Roman" w:hAnsi="Times New Roman"/>
                <w:sz w:val="20"/>
              </w:rPr>
              <w:t>Excel .xlsx</w:t>
            </w:r>
          </w:p>
        </w:tc>
        <w:tc>
          <w:tcPr>
            <w:tcW w:type="dxa" w:w="1872"/>
          </w:tcPr>
          <w:p>
            <w:pPr>
              <w:spacing w:line="276" w:lineRule="auto"/>
            </w:pPr>
            <w:r/>
            <w:r>
              <w:rPr>
                <w:rFonts w:ascii="Times New Roman" w:hAnsi="Times New Roman"/>
                <w:sz w:val="20"/>
              </w:rPr>
              <w:t>Mensual</w:t>
            </w:r>
          </w:p>
        </w:tc>
        <w:tc>
          <w:tcPr>
            <w:tcW w:type="dxa" w:w="1872"/>
          </w:tcPr>
          <w:p>
            <w:pPr>
              <w:spacing w:line="276" w:lineRule="auto"/>
            </w:pPr>
            <w:r/>
            <w:r>
              <w:rPr>
                <w:rFonts w:ascii="Times New Roman" w:hAnsi="Times New Roman"/>
                <w:sz w:val="20"/>
              </w:rPr>
              <w:t>2020–2026</w:t>
            </w:r>
          </w:p>
        </w:tc>
      </w:tr>
    </w:tbl>
    <w:p/>
    <w:p>
      <w:r>
        <w:t>No se utilizaron APIs externas ni bases SQL preexistentes. La fuente central es un archivo Excel que consolida todas las órdenes de servicio gestionadas históricamente.</w:t>
      </w:r>
    </w:p>
    <w:p>
      <w:pPr>
        <w:pStyle w:val="Heading3"/>
      </w:pPr>
      <w:r>
        <w:t>4.1.2 Estrategia de Captura</w:t>
      </w:r>
    </w:p>
    <w:p>
      <w:r>
        <w:t xml:space="preserve">Se trabajó con el </w:t>
      </w:r>
      <w:r>
        <w:rPr>
          <w:b/>
        </w:rPr>
        <w:t>censo completo</w:t>
      </w:r>
      <w:r>
        <w:t xml:space="preserve"> de órdenes de servicio (45.000 registros), sin muestreo. Dado que la Matriz ARL es el registro exhaustivo de todas las órdenes procesadas por la IPS desde 2020, no fue necesario aplicar técnicas de muestreo probabilístico.</w:t>
      </w:r>
    </w:p>
    <w:p>
      <w:pPr>
        <w:pStyle w:val="Heading3"/>
      </w:pPr>
      <w:r>
        <w:t>4.1.3 Proceso de Limpieza y Transformación</w:t>
      </w:r>
    </w:p>
    <w:p>
      <w:r>
        <w:t>El proceso ETL se implementó en Python mediante el endpoint `/gestion/upload` con la librería `openpyxl`. Las transformaciones aplicadas fueron:¹</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b/>
                <w:sz w:val="20"/>
              </w:rPr>
              <w:t>Paso</w:t>
            </w:r>
          </w:p>
        </w:tc>
        <w:tc>
          <w:tcPr>
            <w:tcW w:type="dxa" w:w="3120"/>
          </w:tcPr>
          <w:p>
            <w:pPr>
              <w:spacing w:line="276" w:lineRule="auto"/>
            </w:pPr>
            <w:r/>
            <w:r>
              <w:rPr>
                <w:rFonts w:ascii="Times New Roman" w:hAnsi="Times New Roman"/>
                <w:b/>
                <w:sz w:val="20"/>
              </w:rPr>
              <w:t>Transformación</w:t>
            </w:r>
          </w:p>
        </w:tc>
        <w:tc>
          <w:tcPr>
            <w:tcW w:type="dxa" w:w="3120"/>
          </w:tcPr>
          <w:p>
            <w:pPr>
              <w:spacing w:line="276" w:lineRule="auto"/>
            </w:pPr>
            <w:r/>
            <w:r>
              <w:rPr>
                <w:rFonts w:ascii="Times New Roman" w:hAnsi="Times New Roman"/>
                <w:b/>
                <w:sz w:val="20"/>
              </w:rPr>
              <w:t>Herramienta</w:t>
            </w:r>
          </w:p>
        </w:tc>
      </w:tr>
      <w:tr>
        <w:tc>
          <w:tcPr>
            <w:tcW w:type="dxa" w:w="3120"/>
          </w:tcPr>
          <w:p>
            <w:pPr>
              <w:spacing w:line="276" w:lineRule="auto"/>
            </w:pPr>
            <w:r/>
            <w:r>
              <w:rPr>
                <w:rFonts w:ascii="Times New Roman" w:hAnsi="Times New Roman"/>
                <w:sz w:val="20"/>
              </w:rPr>
              <w:t>1</w:t>
            </w:r>
          </w:p>
        </w:tc>
        <w:tc>
          <w:tcPr>
            <w:tcW w:type="dxa" w:w="3120"/>
          </w:tcPr>
          <w:p>
            <w:pPr>
              <w:spacing w:line="276" w:lineRule="auto"/>
            </w:pPr>
            <w:r/>
            <w:r>
              <w:rPr>
                <w:rFonts w:ascii="Times New Roman" w:hAnsi="Times New Roman"/>
                <w:sz w:val="20"/>
              </w:rPr>
              <w:t>Lectura fila a fila desde la fila 2 (encabezado en fila 1)</w:t>
            </w:r>
          </w:p>
        </w:tc>
        <w:tc>
          <w:tcPr>
            <w:tcW w:type="dxa" w:w="3120"/>
          </w:tcPr>
          <w:p>
            <w:pPr>
              <w:spacing w:line="276" w:lineRule="auto"/>
            </w:pPr>
            <w:r/>
            <w:r>
              <w:rPr>
                <w:rFonts w:ascii="Times New Roman" w:hAnsi="Times New Roman"/>
                <w:sz w:val="20"/>
              </w:rPr>
              <w:t>openpyxl 3.1.5</w:t>
            </w:r>
          </w:p>
        </w:tc>
      </w:tr>
      <w:tr>
        <w:tc>
          <w:tcPr>
            <w:tcW w:type="dxa" w:w="3120"/>
          </w:tcPr>
          <w:p>
            <w:pPr>
              <w:spacing w:line="276" w:lineRule="auto"/>
            </w:pPr>
            <w:r/>
            <w:r>
              <w:rPr>
                <w:rFonts w:ascii="Times New Roman" w:hAnsi="Times New Roman"/>
                <w:sz w:val="20"/>
              </w:rPr>
              <w:t>2</w:t>
            </w:r>
          </w:p>
        </w:tc>
        <w:tc>
          <w:tcPr>
            <w:tcW w:type="dxa" w:w="3120"/>
          </w:tcPr>
          <w:p>
            <w:pPr>
              <w:spacing w:line="276" w:lineRule="auto"/>
            </w:pPr>
            <w:r/>
            <w:r>
              <w:rPr>
                <w:rFonts w:ascii="Times New Roman" w:hAnsi="Times New Roman"/>
                <w:sz w:val="20"/>
              </w:rPr>
              <w:t>Conversión de fechas a formato ISO 8601 (YYYY-MM-DD)</w:t>
            </w:r>
          </w:p>
        </w:tc>
        <w:tc>
          <w:tcPr>
            <w:tcW w:type="dxa" w:w="3120"/>
          </w:tcPr>
          <w:p>
            <w:pPr>
              <w:spacing w:line="276" w:lineRule="auto"/>
            </w:pPr>
            <w:r/>
            <w:r>
              <w:rPr>
                <w:rFonts w:ascii="Times New Roman" w:hAnsi="Times New Roman"/>
                <w:sz w:val="20"/>
              </w:rPr>
              <w:t>Python datetime</w:t>
            </w:r>
          </w:p>
        </w:tc>
      </w:tr>
      <w:tr>
        <w:tc>
          <w:tcPr>
            <w:tcW w:type="dxa" w:w="3120"/>
          </w:tcPr>
          <w:p>
            <w:pPr>
              <w:spacing w:line="276" w:lineRule="auto"/>
            </w:pPr>
            <w:r/>
            <w:r>
              <w:rPr>
                <w:rFonts w:ascii="Times New Roman" w:hAnsi="Times New Roman"/>
                <w:sz w:val="20"/>
              </w:rPr>
              <w:t>3</w:t>
            </w:r>
          </w:p>
        </w:tc>
        <w:tc>
          <w:tcPr>
            <w:tcW w:type="dxa" w:w="3120"/>
          </w:tcPr>
          <w:p>
            <w:pPr>
              <w:spacing w:line="276" w:lineRule="auto"/>
            </w:pPr>
            <w:r/>
            <w:r>
              <w:rPr>
                <w:rFonts w:ascii="Times New Roman" w:hAnsi="Times New Roman"/>
                <w:sz w:val="20"/>
              </w:rPr>
              <w:t>Tipado de campos numéricos: str → float (valor), str → int (trabajadores)</w:t>
            </w:r>
          </w:p>
        </w:tc>
        <w:tc>
          <w:tcPr>
            <w:tcW w:type="dxa" w:w="3120"/>
          </w:tcPr>
          <w:p>
            <w:pPr>
              <w:spacing w:line="276" w:lineRule="auto"/>
            </w:pPr>
            <w:r/>
            <w:r>
              <w:rPr>
                <w:rFonts w:ascii="Times New Roman" w:hAnsi="Times New Roman"/>
                <w:sz w:val="20"/>
              </w:rPr>
              <w:t>Python built-ins</w:t>
            </w:r>
          </w:p>
        </w:tc>
      </w:tr>
      <w:tr>
        <w:tc>
          <w:tcPr>
            <w:tcW w:type="dxa" w:w="3120"/>
          </w:tcPr>
          <w:p>
            <w:pPr>
              <w:spacing w:line="276" w:lineRule="auto"/>
            </w:pPr>
            <w:r/>
            <w:r>
              <w:rPr>
                <w:rFonts w:ascii="Times New Roman" w:hAnsi="Times New Roman"/>
                <w:sz w:val="20"/>
              </w:rPr>
              <w:t>4</w:t>
            </w:r>
          </w:p>
        </w:tc>
        <w:tc>
          <w:tcPr>
            <w:tcW w:type="dxa" w:w="3120"/>
          </w:tcPr>
          <w:p>
            <w:pPr>
              <w:spacing w:line="276" w:lineRule="auto"/>
            </w:pPr>
            <w:r/>
            <w:r>
              <w:rPr>
                <w:rFonts w:ascii="Times New Roman" w:hAnsi="Times New Roman"/>
                <w:sz w:val="20"/>
              </w:rPr>
              <w:t>Normalización de texto: strip(), eliminación de espacios dobles</w:t>
            </w:r>
          </w:p>
        </w:tc>
        <w:tc>
          <w:tcPr>
            <w:tcW w:type="dxa" w:w="3120"/>
          </w:tcPr>
          <w:p>
            <w:pPr>
              <w:spacing w:line="276" w:lineRule="auto"/>
            </w:pPr>
            <w:r/>
            <w:r>
              <w:rPr>
                <w:rFonts w:ascii="Times New Roman" w:hAnsi="Times New Roman"/>
                <w:sz w:val="20"/>
              </w:rPr>
              <w:t>Python str methods</w:t>
            </w:r>
          </w:p>
        </w:tc>
      </w:tr>
      <w:tr>
        <w:tc>
          <w:tcPr>
            <w:tcW w:type="dxa" w:w="3120"/>
          </w:tcPr>
          <w:p>
            <w:pPr>
              <w:spacing w:line="276" w:lineRule="auto"/>
            </w:pPr>
            <w:r/>
            <w:r>
              <w:rPr>
                <w:rFonts w:ascii="Times New Roman" w:hAnsi="Times New Roman"/>
                <w:sz w:val="20"/>
              </w:rPr>
              <w:t>5</w:t>
            </w:r>
          </w:p>
        </w:tc>
        <w:tc>
          <w:tcPr>
            <w:tcW w:type="dxa" w:w="3120"/>
          </w:tcPr>
          <w:p>
            <w:pPr>
              <w:spacing w:line="276" w:lineRule="auto"/>
            </w:pPr>
            <w:r/>
            <w:r>
              <w:rPr>
                <w:rFonts w:ascii="Times New Roman" w:hAnsi="Times New Roman"/>
                <w:sz w:val="20"/>
              </w:rPr>
              <w:t>Validación de estados contra catálogo de 10 estados permitidos</w:t>
            </w:r>
          </w:p>
        </w:tc>
        <w:tc>
          <w:tcPr>
            <w:tcW w:type="dxa" w:w="3120"/>
          </w:tcPr>
          <w:p>
            <w:pPr>
              <w:spacing w:line="276" w:lineRule="auto"/>
            </w:pPr>
            <w:r/>
            <w:r>
              <w:rPr>
                <w:rFonts w:ascii="Times New Roman" w:hAnsi="Times New Roman"/>
                <w:sz w:val="20"/>
              </w:rPr>
              <w:t>Verificación por conjunto</w:t>
            </w:r>
          </w:p>
        </w:tc>
      </w:tr>
      <w:tr>
        <w:tc>
          <w:tcPr>
            <w:tcW w:type="dxa" w:w="3120"/>
          </w:tcPr>
          <w:p>
            <w:pPr>
              <w:spacing w:line="276" w:lineRule="auto"/>
            </w:pPr>
            <w:r/>
            <w:r>
              <w:rPr>
                <w:rFonts w:ascii="Times New Roman" w:hAnsi="Times New Roman"/>
                <w:sz w:val="20"/>
              </w:rPr>
              <w:t>6</w:t>
            </w:r>
          </w:p>
        </w:tc>
        <w:tc>
          <w:tcPr>
            <w:tcW w:type="dxa" w:w="3120"/>
          </w:tcPr>
          <w:p>
            <w:pPr>
              <w:spacing w:line="276" w:lineRule="auto"/>
            </w:pPr>
            <w:r/>
            <w:r>
              <w:rPr>
                <w:rFonts w:ascii="Times New Roman" w:hAnsi="Times New Roman"/>
                <w:sz w:val="20"/>
              </w:rPr>
              <w:t>Manejo de nulos: defaults por tipo (fecha=hoy, valor=0.0, trabajadores=1)</w:t>
            </w:r>
          </w:p>
        </w:tc>
        <w:tc>
          <w:tcPr>
            <w:tcW w:type="dxa" w:w="3120"/>
          </w:tcPr>
          <w:p>
            <w:pPr>
              <w:spacing w:line="276" w:lineRule="auto"/>
            </w:pPr>
            <w:r/>
            <w:r>
              <w:rPr>
                <w:rFonts w:ascii="Times New Roman" w:hAnsi="Times New Roman"/>
                <w:sz w:val="20"/>
              </w:rPr>
              <w:t>Condicionales</w:t>
            </w:r>
          </w:p>
        </w:tc>
      </w:tr>
      <w:tr>
        <w:tc>
          <w:tcPr>
            <w:tcW w:type="dxa" w:w="3120"/>
          </w:tcPr>
          <w:p>
            <w:pPr>
              <w:spacing w:line="276" w:lineRule="auto"/>
            </w:pPr>
            <w:r/>
            <w:r>
              <w:rPr>
                <w:rFonts w:ascii="Times New Roman" w:hAnsi="Times New Roman"/>
                <w:sz w:val="20"/>
              </w:rPr>
              <w:t>7</w:t>
            </w:r>
          </w:p>
        </w:tc>
        <w:tc>
          <w:tcPr>
            <w:tcW w:type="dxa" w:w="3120"/>
          </w:tcPr>
          <w:p>
            <w:pPr>
              <w:spacing w:line="276" w:lineRule="auto"/>
            </w:pPr>
            <w:r/>
            <w:r>
              <w:rPr>
                <w:rFonts w:ascii="Times New Roman" w:hAnsi="Times New Roman"/>
                <w:sz w:val="20"/>
              </w:rPr>
              <w:t>Padding de columnas: extensión a 13 campos si el archivo tiene menos</w:t>
            </w:r>
          </w:p>
        </w:tc>
        <w:tc>
          <w:tcPr>
            <w:tcW w:type="dxa" w:w="3120"/>
          </w:tcPr>
          <w:p>
            <w:pPr>
              <w:spacing w:line="276" w:lineRule="auto"/>
            </w:pPr>
            <w:r/>
            <w:r>
              <w:rPr>
                <w:rFonts w:ascii="Times New Roman" w:hAnsi="Times New Roman"/>
                <w:sz w:val="20"/>
              </w:rPr>
              <w:t>list.append(None)</w:t>
            </w:r>
          </w:p>
        </w:tc>
      </w:tr>
      <w:tr>
        <w:tc>
          <w:tcPr>
            <w:tcW w:type="dxa" w:w="3120"/>
          </w:tcPr>
          <w:p>
            <w:pPr>
              <w:spacing w:line="276" w:lineRule="auto"/>
            </w:pPr>
            <w:r/>
            <w:r>
              <w:rPr>
                <w:rFonts w:ascii="Times New Roman" w:hAnsi="Times New Roman"/>
                <w:sz w:val="20"/>
              </w:rPr>
              <w:t>8</w:t>
            </w:r>
          </w:p>
        </w:tc>
        <w:tc>
          <w:tcPr>
            <w:tcW w:type="dxa" w:w="3120"/>
          </w:tcPr>
          <w:p>
            <w:pPr>
              <w:spacing w:line="276" w:lineRule="auto"/>
            </w:pPr>
            <w:r/>
            <w:r>
              <w:rPr>
                <w:rFonts w:ascii="Times New Roman" w:hAnsi="Times New Roman"/>
                <w:sz w:val="20"/>
              </w:rPr>
              <w:t>Generación de campos derivados: días_ejecución, días_facturación</w:t>
            </w:r>
          </w:p>
        </w:tc>
        <w:tc>
          <w:tcPr>
            <w:tcW w:type="dxa" w:w="3120"/>
          </w:tcPr>
          <w:p>
            <w:pPr>
              <w:spacing w:line="276" w:lineRule="auto"/>
            </w:pPr>
            <w:r/>
            <w:r>
              <w:rPr>
                <w:rFonts w:ascii="Times New Roman" w:hAnsi="Times New Roman"/>
                <w:sz w:val="20"/>
              </w:rPr>
              <w:t>Propiedades calculadas</w:t>
            </w:r>
          </w:p>
        </w:tc>
      </w:tr>
      <w:tr>
        <w:tc>
          <w:tcPr>
            <w:tcW w:type="dxa" w:w="3120"/>
          </w:tcPr>
          <w:p>
            <w:pPr>
              <w:spacing w:line="276" w:lineRule="auto"/>
            </w:pPr>
            <w:r/>
            <w:r>
              <w:rPr>
                <w:rFonts w:ascii="Times New Roman" w:hAnsi="Times New Roman"/>
                <w:sz w:val="20"/>
              </w:rPr>
              <w:t>9</w:t>
            </w:r>
          </w:p>
        </w:tc>
        <w:tc>
          <w:tcPr>
            <w:tcW w:type="dxa" w:w="3120"/>
          </w:tcPr>
          <w:p>
            <w:pPr>
              <w:spacing w:line="276" w:lineRule="auto"/>
            </w:pPr>
            <w:r/>
            <w:r>
              <w:rPr>
                <w:rFonts w:ascii="Times New Roman" w:hAnsi="Times New Roman"/>
                <w:sz w:val="20"/>
              </w:rPr>
              <w:t>Reporte de errores: filas con formato inválido se registran sin detener el proceso</w:t>
            </w:r>
          </w:p>
        </w:tc>
        <w:tc>
          <w:tcPr>
            <w:tcW w:type="dxa" w:w="3120"/>
          </w:tcPr>
          <w:p>
            <w:pPr>
              <w:spacing w:line="276" w:lineRule="auto"/>
            </w:pPr>
            <w:r/>
            <w:r>
              <w:rPr>
                <w:rFonts w:ascii="Times New Roman" w:hAnsi="Times New Roman"/>
                <w:sz w:val="20"/>
              </w:rPr>
              <w:t>Lista de errores</w:t>
            </w:r>
          </w:p>
        </w:tc>
      </w:tr>
    </w:tbl>
    <w:p/>
    <w:p>
      <w:r/>
      <w:r>
        <w:rPr>
          <w:b/>
        </w:rPr>
        <w:t>Detección de duplicados:</w:t>
      </w:r>
      <w:r>
        <w:t xml:space="preserve"> El campo `ID` (numérico único) sirve como identificador de cada orden. Si se carga un archivo con IDs repetidos, el sistema reemplaza atómicamente todo el conjunto, eliminando posibles duplicados del archivo anterior.</w:t>
      </w:r>
    </w:p>
    <w:p>
      <w:r/>
      <w:r>
        <w:rPr>
          <w:b/>
        </w:rPr>
        <w:t>Anonimización:</w:t>
      </w:r>
      <w:r>
        <w:t xml:space="preserve"> En el entorno de demostración pública, los datos son 100% sintéticos. Los nombres de empresas, responsables y valores son generados algorítmicamente a partir del catálogo real de SYSO sin exponer información de personas o empresas reales.²</w:t>
      </w:r>
    </w:p>
    <w:p>
      <w:pPr>
        <w:ind w:left="720"/>
      </w:pPr>
      <w:r>
        <w:rPr>
          <w:i/>
          <w:sz w:val="20"/>
        </w:rPr>
        <w:t xml:space="preserve">¹ </w:t>
      </w:r>
      <w:r>
        <w:rPr>
          <w:b/>
          <w:i/>
          <w:sz w:val="20"/>
        </w:rPr>
        <w:t>Nota al pie (Word):</w:t>
      </w:r>
      <w:r>
        <w:rPr>
          <w:i/>
          <w:sz w:val="20"/>
        </w:rPr>
        <w:t xml:space="preserve"> El código fuente del proceso ETL se encuentra en `controllers/gestion_controller.py`, función `upload_excel()`. Repositorio: https://github.com/carlosbax25/syso-bi-dashboard</w:t>
      </w:r>
    </w:p>
    <w:p>
      <w:pPr>
        <w:ind w:left="720"/>
      </w:pPr>
      <w:r>
        <w:rPr>
          <w:i/>
          <w:sz w:val="20"/>
        </w:rPr>
        <w:t xml:space="preserve">² </w:t>
      </w:r>
      <w:r>
        <w:rPr>
          <w:b/>
          <w:i/>
          <w:sz w:val="20"/>
        </w:rPr>
        <w:t>Nota al pie (Word):</w:t>
      </w:r>
      <w:r>
        <w:rPr>
          <w:i/>
          <w:sz w:val="20"/>
        </w:rPr>
        <w:t xml:space="preserve"> La generación de datos sintéticos se implementa en `repositories/fake_data_repository.py` con semilla reproducible (seed=42) para garantizar consistencia entre ejecuciones. Los 76 servicios del catálogo y las 4 ARLs son datos reales; las combinaciones y fechas son sintéticas.</w:t>
      </w:r>
    </w:p>
    <w:p>
      <w:pPr>
        <w:pStyle w:val="Heading3"/>
      </w:pPr>
      <w:r>
        <w:t>4.1.4 Pipeline de Datos</w:t>
      </w:r>
    </w:p>
    <w:p>
      <w:pPr>
        <w:spacing w:line="240" w:lineRule="auto"/>
        <w:ind w:left="567"/>
      </w:pPr>
      <w:r>
        <w:rPr>
          <w:rFonts w:ascii="Courier New" w:hAnsi="Courier New"/>
          <w:sz w:val="18"/>
        </w:rPr>
        <w:t>┌────────────────────┐     ┌─────────────────────┐     ┌────────────────────────┐</w:t>
        <w:br/>
        <w:t>│  ENTRADA           │     │  LIMPIEZA Y         │     │  TRANSFORMACIÓN        │</w:t>
        <w:br/>
        <w:t>│                    │     │  VALIDACIÓN         │     │                        │</w:t>
        <w:br/>
        <w:t>│  Archivo .xlsx     │────▶│  • Tipado de campos │────▶│  • Conversión fechas   │</w:t>
        <w:br/>
        <w:t>│  (Matriz ARL)      │     │  • Manejo de nulos  │     │  • Normalización texto │</w:t>
        <w:br/>
        <w:t>│  45.000 registros  │     │  • Reporte errores  │     │  • Campos derivados    │</w:t>
        <w:br/>
        <w:t>└────────────────────┘     └─────────────────────┘     └───────────┬────────────┘</w:t>
        <w:br/>
        <w:t xml:space="preserve">                                                                    │</w:t>
        <w:br/>
        <w:t xml:space="preserve">                                                                    ▼</w:t>
        <w:br/>
        <w:t>┌────────────────────┐     ┌─────────────────────┐     ┌────────────────────────┐</w:t>
        <w:br/>
        <w:t>│  VISUALIZACIÓN     │     │  ANÁLISIS           │     │  CARGA (REPOSITORIO)   │</w:t>
        <w:br/>
        <w:t>│                    │     │                     │     │                        │</w:t>
        <w:br/>
        <w:t>│  Tablero Flask     │◀────│  DashboardService   │◀────│  Lista Python en       │</w:t>
        <w:br/>
        <w:t>│  Chart.js          │     │  • KPIs             │     │  memoria (Repository)  │</w:t>
        <w:br/>
        <w:t>│  HTML/CSS/JS       │     │  • Agrupaciones     │     │  Patrón DAO/ABC        │</w:t>
        <w:br/>
        <w:t>│                    │     │  • Regresión lineal │     │                        │</w:t>
        <w:br/>
        <w:t>└────────────────────┘     └─────────────────────┘     └────────────────────────┘</w:t>
      </w:r>
    </w:p>
    <w:p>
      <w:pPr>
        <w:pStyle w:val="Heading2"/>
      </w:pPr>
      <w:r>
        <w:t>4.2 Análisis Exploratorio de Datos (EDA)</w:t>
      </w:r>
    </w:p>
    <w:p>
      <w:pPr>
        <w:pStyle w:val="Heading3"/>
      </w:pPr>
      <w:r>
        <w:t>4.2.1 Estadísticas Descriptivas Globales</w:t>
      </w:r>
    </w:p>
    <w:p>
      <w:r>
        <w:t>Sobre el conjunto de 45.000 órdenes de servicio (periodo 2020–2026):</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b/>
                <w:sz w:val="20"/>
              </w:rPr>
              <w:t>Variable</w:t>
            </w:r>
          </w:p>
        </w:tc>
        <w:tc>
          <w:tcPr>
            <w:tcW w:type="dxa" w:w="3120"/>
          </w:tcPr>
          <w:p>
            <w:pPr>
              <w:spacing w:line="276" w:lineRule="auto"/>
            </w:pPr>
            <w:r/>
            <w:r>
              <w:rPr>
                <w:rFonts w:ascii="Times New Roman" w:hAnsi="Times New Roman"/>
                <w:b/>
                <w:sz w:val="20"/>
              </w:rPr>
              <w:t>Estadística</w:t>
            </w:r>
          </w:p>
        </w:tc>
        <w:tc>
          <w:tcPr>
            <w:tcW w:type="dxa" w:w="3120"/>
          </w:tcPr>
          <w:p>
            <w:pPr>
              <w:spacing w:line="276" w:lineRule="auto"/>
            </w:pPr>
            <w:r/>
            <w:r>
              <w:rPr>
                <w:rFonts w:ascii="Times New Roman" w:hAnsi="Times New Roman"/>
                <w:b/>
                <w:sz w:val="20"/>
              </w:rPr>
              <w:t>Valor</w:t>
            </w:r>
          </w:p>
        </w:tc>
      </w:tr>
      <w:tr>
        <w:tc>
          <w:tcPr>
            <w:tcW w:type="dxa" w:w="3120"/>
          </w:tcPr>
          <w:p>
            <w:pPr>
              <w:spacing w:line="276" w:lineRule="auto"/>
            </w:pPr>
            <w:r/>
            <w:r>
              <w:rPr>
                <w:rFonts w:ascii="Times New Roman" w:hAnsi="Times New Roman"/>
                <w:sz w:val="20"/>
              </w:rPr>
              <w:t>Total de órdenes</w:t>
            </w:r>
          </w:p>
        </w:tc>
        <w:tc>
          <w:tcPr>
            <w:tcW w:type="dxa" w:w="3120"/>
          </w:tcPr>
          <w:p>
            <w:pPr>
              <w:spacing w:line="276" w:lineRule="auto"/>
            </w:pPr>
            <w:r/>
            <w:r>
              <w:rPr>
                <w:rFonts w:ascii="Times New Roman" w:hAnsi="Times New Roman"/>
                <w:sz w:val="20"/>
              </w:rPr>
              <w:t>Conteo</w:t>
            </w:r>
          </w:p>
        </w:tc>
        <w:tc>
          <w:tcPr>
            <w:tcW w:type="dxa" w:w="3120"/>
          </w:tcPr>
          <w:p>
            <w:pPr>
              <w:spacing w:line="276" w:lineRule="auto"/>
            </w:pPr>
            <w:r/>
            <w:r>
              <w:rPr>
                <w:rFonts w:ascii="Times New Roman" w:hAnsi="Times New Roman"/>
                <w:sz w:val="20"/>
              </w:rPr>
              <w:t>45.000</w:t>
            </w:r>
          </w:p>
        </w:tc>
      </w:tr>
      <w:tr>
        <w:tc>
          <w:tcPr>
            <w:tcW w:type="dxa" w:w="3120"/>
          </w:tcPr>
          <w:p>
            <w:pPr>
              <w:spacing w:line="276" w:lineRule="auto"/>
            </w:pPr>
            <w:r/>
            <w:r>
              <w:rPr>
                <w:rFonts w:ascii="Times New Roman" w:hAnsi="Times New Roman"/>
                <w:sz w:val="20"/>
              </w:rPr>
              <w:t>Ingresos totales</w:t>
            </w:r>
          </w:p>
        </w:tc>
        <w:tc>
          <w:tcPr>
            <w:tcW w:type="dxa" w:w="3120"/>
          </w:tcPr>
          <w:p>
            <w:pPr>
              <w:spacing w:line="276" w:lineRule="auto"/>
            </w:pPr>
            <w:r/>
            <w:r>
              <w:rPr>
                <w:rFonts w:ascii="Times New Roman" w:hAnsi="Times New Roman"/>
                <w:sz w:val="20"/>
              </w:rPr>
              <w:t>Suma</w:t>
            </w:r>
          </w:p>
        </w:tc>
        <w:tc>
          <w:tcPr>
            <w:tcW w:type="dxa" w:w="3120"/>
          </w:tcPr>
          <w:p>
            <w:pPr>
              <w:spacing w:line="276" w:lineRule="auto"/>
            </w:pPr>
            <w:r/>
            <w:r>
              <w:rPr>
                <w:rFonts w:ascii="Times New Roman" w:hAnsi="Times New Roman"/>
                <w:sz w:val="20"/>
              </w:rPr>
              <w:t>$2.204.030.290 COP</w:t>
            </w:r>
          </w:p>
        </w:tc>
      </w:tr>
      <w:tr>
        <w:tc>
          <w:tcPr>
            <w:tcW w:type="dxa" w:w="3120"/>
          </w:tcPr>
          <w:p>
            <w:pPr>
              <w:spacing w:line="276" w:lineRule="auto"/>
            </w:pPr>
            <w:r/>
            <w:r>
              <w:rPr>
                <w:rFonts w:ascii="Times New Roman" w:hAnsi="Times New Roman"/>
                <w:sz w:val="20"/>
              </w:rPr>
              <w:t>Valor promedio por orden</w:t>
            </w:r>
          </w:p>
        </w:tc>
        <w:tc>
          <w:tcPr>
            <w:tcW w:type="dxa" w:w="3120"/>
          </w:tcPr>
          <w:p>
            <w:pPr>
              <w:spacing w:line="276" w:lineRule="auto"/>
            </w:pPr>
            <w:r/>
            <w:r>
              <w:rPr>
                <w:rFonts w:ascii="Times New Roman" w:hAnsi="Times New Roman"/>
                <w:sz w:val="20"/>
              </w:rPr>
              <w:t>Media</w:t>
            </w:r>
          </w:p>
        </w:tc>
        <w:tc>
          <w:tcPr>
            <w:tcW w:type="dxa" w:w="3120"/>
          </w:tcPr>
          <w:p>
            <w:pPr>
              <w:spacing w:line="276" w:lineRule="auto"/>
            </w:pPr>
            <w:r/>
            <w:r>
              <w:rPr>
                <w:rFonts w:ascii="Times New Roman" w:hAnsi="Times New Roman"/>
                <w:sz w:val="20"/>
              </w:rPr>
              <w:t>$48.978 COP</w:t>
            </w:r>
          </w:p>
        </w:tc>
      </w:tr>
      <w:tr>
        <w:tc>
          <w:tcPr>
            <w:tcW w:type="dxa" w:w="3120"/>
          </w:tcPr>
          <w:p>
            <w:pPr>
              <w:spacing w:line="276" w:lineRule="auto"/>
            </w:pPr>
            <w:r/>
            <w:r>
              <w:rPr>
                <w:rFonts w:ascii="Times New Roman" w:hAnsi="Times New Roman"/>
                <w:sz w:val="20"/>
              </w:rPr>
              <w:t>Trabajadores atendidos (promedio)</w:t>
            </w:r>
          </w:p>
        </w:tc>
        <w:tc>
          <w:tcPr>
            <w:tcW w:type="dxa" w:w="3120"/>
          </w:tcPr>
          <w:p>
            <w:pPr>
              <w:spacing w:line="276" w:lineRule="auto"/>
            </w:pPr>
            <w:r/>
            <w:r>
              <w:rPr>
                <w:rFonts w:ascii="Times New Roman" w:hAnsi="Times New Roman"/>
                <w:sz w:val="20"/>
              </w:rPr>
              <w:t>Media</w:t>
            </w:r>
          </w:p>
        </w:tc>
        <w:tc>
          <w:tcPr>
            <w:tcW w:type="dxa" w:w="3120"/>
          </w:tcPr>
          <w:p>
            <w:pPr>
              <w:spacing w:line="276" w:lineRule="auto"/>
            </w:pPr>
            <w:r/>
            <w:r>
              <w:rPr>
                <w:rFonts w:ascii="Times New Roman" w:hAnsi="Times New Roman"/>
                <w:sz w:val="20"/>
              </w:rPr>
              <w:t>~100 por orden</w:t>
            </w:r>
          </w:p>
        </w:tc>
      </w:tr>
      <w:tr>
        <w:tc>
          <w:tcPr>
            <w:tcW w:type="dxa" w:w="3120"/>
          </w:tcPr>
          <w:p>
            <w:pPr>
              <w:spacing w:line="276" w:lineRule="auto"/>
            </w:pPr>
            <w:r/>
            <w:r>
              <w:rPr>
                <w:rFonts w:ascii="Times New Roman" w:hAnsi="Times New Roman"/>
                <w:sz w:val="20"/>
              </w:rPr>
              <w:t>ARLs activas</w:t>
            </w:r>
          </w:p>
        </w:tc>
        <w:tc>
          <w:tcPr>
            <w:tcW w:type="dxa" w:w="3120"/>
          </w:tcPr>
          <w:p>
            <w:pPr>
              <w:spacing w:line="276" w:lineRule="auto"/>
            </w:pPr>
            <w:r/>
            <w:r>
              <w:rPr>
                <w:rFonts w:ascii="Times New Roman" w:hAnsi="Times New Roman"/>
                <w:sz w:val="20"/>
              </w:rPr>
              <w:t>Conteo distinto</w:t>
            </w:r>
          </w:p>
        </w:tc>
        <w:tc>
          <w:tcPr>
            <w:tcW w:type="dxa" w:w="3120"/>
          </w:tcPr>
          <w:p>
            <w:pPr>
              <w:spacing w:line="276" w:lineRule="auto"/>
            </w:pPr>
            <w:r/>
            <w:r>
              <w:rPr>
                <w:rFonts w:ascii="Times New Roman" w:hAnsi="Times New Roman"/>
                <w:sz w:val="20"/>
              </w:rPr>
              <w:t>4</w:t>
            </w:r>
          </w:p>
        </w:tc>
      </w:tr>
      <w:tr>
        <w:tc>
          <w:tcPr>
            <w:tcW w:type="dxa" w:w="3120"/>
          </w:tcPr>
          <w:p>
            <w:pPr>
              <w:spacing w:line="276" w:lineRule="auto"/>
            </w:pPr>
            <w:r/>
            <w:r>
              <w:rPr>
                <w:rFonts w:ascii="Times New Roman" w:hAnsi="Times New Roman"/>
                <w:sz w:val="20"/>
              </w:rPr>
              <w:t>Tipos de servicio</w:t>
            </w:r>
          </w:p>
        </w:tc>
        <w:tc>
          <w:tcPr>
            <w:tcW w:type="dxa" w:w="3120"/>
          </w:tcPr>
          <w:p>
            <w:pPr>
              <w:spacing w:line="276" w:lineRule="auto"/>
            </w:pPr>
            <w:r/>
            <w:r>
              <w:rPr>
                <w:rFonts w:ascii="Times New Roman" w:hAnsi="Times New Roman"/>
                <w:sz w:val="20"/>
              </w:rPr>
              <w:t>Conteo distinto</w:t>
            </w:r>
          </w:p>
        </w:tc>
        <w:tc>
          <w:tcPr>
            <w:tcW w:type="dxa" w:w="3120"/>
          </w:tcPr>
          <w:p>
            <w:pPr>
              <w:spacing w:line="276" w:lineRule="auto"/>
            </w:pPr>
            <w:r/>
            <w:r>
              <w:rPr>
                <w:rFonts w:ascii="Times New Roman" w:hAnsi="Times New Roman"/>
                <w:sz w:val="20"/>
              </w:rPr>
              <w:t>4 (Laboratorio, Pruebas Complementarias, Asesoría, Capacitación)</w:t>
            </w:r>
          </w:p>
        </w:tc>
      </w:tr>
      <w:tr>
        <w:tc>
          <w:tcPr>
            <w:tcW w:type="dxa" w:w="3120"/>
          </w:tcPr>
          <w:p>
            <w:pPr>
              <w:spacing w:line="276" w:lineRule="auto"/>
            </w:pPr>
            <w:r/>
            <w:r>
              <w:rPr>
                <w:rFonts w:ascii="Times New Roman" w:hAnsi="Times New Roman"/>
                <w:sz w:val="20"/>
              </w:rPr>
              <w:t>Programas SVE</w:t>
            </w:r>
          </w:p>
        </w:tc>
        <w:tc>
          <w:tcPr>
            <w:tcW w:type="dxa" w:w="3120"/>
          </w:tcPr>
          <w:p>
            <w:pPr>
              <w:spacing w:line="276" w:lineRule="auto"/>
            </w:pPr>
            <w:r/>
            <w:r>
              <w:rPr>
                <w:rFonts w:ascii="Times New Roman" w:hAnsi="Times New Roman"/>
                <w:sz w:val="20"/>
              </w:rPr>
              <w:t>Conteo distinto</w:t>
            </w:r>
          </w:p>
        </w:tc>
        <w:tc>
          <w:tcPr>
            <w:tcW w:type="dxa" w:w="3120"/>
          </w:tcPr>
          <w:p>
            <w:pPr>
              <w:spacing w:line="276" w:lineRule="auto"/>
            </w:pPr>
            <w:r/>
            <w:r>
              <w:rPr>
                <w:rFonts w:ascii="Times New Roman" w:hAnsi="Times New Roman"/>
                <w:sz w:val="20"/>
              </w:rPr>
              <w:t>26</w:t>
            </w:r>
          </w:p>
        </w:tc>
      </w:tr>
      <w:tr>
        <w:tc>
          <w:tcPr>
            <w:tcW w:type="dxa" w:w="3120"/>
          </w:tcPr>
          <w:p>
            <w:pPr>
              <w:spacing w:line="276" w:lineRule="auto"/>
            </w:pPr>
            <w:r/>
            <w:r>
              <w:rPr>
                <w:rFonts w:ascii="Times New Roman" w:hAnsi="Times New Roman"/>
                <w:sz w:val="20"/>
              </w:rPr>
              <w:t>Tareas específicas</w:t>
            </w:r>
          </w:p>
        </w:tc>
        <w:tc>
          <w:tcPr>
            <w:tcW w:type="dxa" w:w="3120"/>
          </w:tcPr>
          <w:p>
            <w:pPr>
              <w:spacing w:line="276" w:lineRule="auto"/>
            </w:pPr>
            <w:r/>
            <w:r>
              <w:rPr>
                <w:rFonts w:ascii="Times New Roman" w:hAnsi="Times New Roman"/>
                <w:sz w:val="20"/>
              </w:rPr>
              <w:t>Conteo distinto</w:t>
            </w:r>
          </w:p>
        </w:tc>
        <w:tc>
          <w:tcPr>
            <w:tcW w:type="dxa" w:w="3120"/>
          </w:tcPr>
          <w:p>
            <w:pPr>
              <w:spacing w:line="276" w:lineRule="auto"/>
            </w:pPr>
            <w:r/>
            <w:r>
              <w:rPr>
                <w:rFonts w:ascii="Times New Roman" w:hAnsi="Times New Roman"/>
                <w:sz w:val="20"/>
              </w:rPr>
              <w:t>76</w:t>
            </w:r>
          </w:p>
        </w:tc>
      </w:tr>
      <w:tr>
        <w:tc>
          <w:tcPr>
            <w:tcW w:type="dxa" w:w="3120"/>
          </w:tcPr>
          <w:p>
            <w:pPr>
              <w:spacing w:line="276" w:lineRule="auto"/>
            </w:pPr>
            <w:r/>
            <w:r>
              <w:rPr>
                <w:rFonts w:ascii="Times New Roman" w:hAnsi="Times New Roman"/>
                <w:sz w:val="20"/>
              </w:rPr>
              <w:t>Tasa de cumplimiento global</w:t>
            </w:r>
          </w:p>
        </w:tc>
        <w:tc>
          <w:tcPr>
            <w:tcW w:type="dxa" w:w="3120"/>
          </w:tcPr>
          <w:p>
            <w:pPr>
              <w:spacing w:line="276" w:lineRule="auto"/>
            </w:pPr>
            <w:r/>
            <w:r>
              <w:rPr>
                <w:rFonts w:ascii="Times New Roman" w:hAnsi="Times New Roman"/>
                <w:sz w:val="20"/>
              </w:rPr>
              <w:t>Porcentaje</w:t>
            </w:r>
          </w:p>
        </w:tc>
        <w:tc>
          <w:tcPr>
            <w:tcW w:type="dxa" w:w="3120"/>
          </w:tcPr>
          <w:p>
            <w:pPr>
              <w:spacing w:line="276" w:lineRule="auto"/>
            </w:pPr>
            <w:r/>
            <w:r>
              <w:rPr>
                <w:rFonts w:ascii="Times New Roman" w:hAnsi="Times New Roman"/>
                <w:sz w:val="20"/>
              </w:rPr>
              <w:t>62.2%</w:t>
            </w:r>
          </w:p>
        </w:tc>
      </w:tr>
      <w:tr>
        <w:tc>
          <w:tcPr>
            <w:tcW w:type="dxa" w:w="3120"/>
          </w:tcPr>
          <w:p>
            <w:pPr>
              <w:spacing w:line="276" w:lineRule="auto"/>
            </w:pPr>
            <w:r/>
            <w:r>
              <w:rPr>
                <w:rFonts w:ascii="Times New Roman" w:hAnsi="Times New Roman"/>
                <w:sz w:val="20"/>
              </w:rPr>
              <w:t>Órdenes en gestión activa</w:t>
            </w:r>
          </w:p>
        </w:tc>
        <w:tc>
          <w:tcPr>
            <w:tcW w:type="dxa" w:w="3120"/>
          </w:tcPr>
          <w:p>
            <w:pPr>
              <w:spacing w:line="276" w:lineRule="auto"/>
            </w:pPr>
            <w:r/>
            <w:r>
              <w:rPr>
                <w:rFonts w:ascii="Times New Roman" w:hAnsi="Times New Roman"/>
                <w:sz w:val="20"/>
              </w:rPr>
              <w:t>Conteo</w:t>
            </w:r>
          </w:p>
        </w:tc>
        <w:tc>
          <w:tcPr>
            <w:tcW w:type="dxa" w:w="3120"/>
          </w:tcPr>
          <w:p>
            <w:pPr>
              <w:spacing w:line="276" w:lineRule="auto"/>
            </w:pPr>
            <w:r/>
            <w:r>
              <w:rPr>
                <w:rFonts w:ascii="Times New Roman" w:hAnsi="Times New Roman"/>
                <w:sz w:val="20"/>
              </w:rPr>
              <w:t>11.633</w:t>
            </w:r>
          </w:p>
        </w:tc>
      </w:tr>
      <w:tr>
        <w:tc>
          <w:tcPr>
            <w:tcW w:type="dxa" w:w="3120"/>
          </w:tcPr>
          <w:p>
            <w:pPr>
              <w:spacing w:line="276" w:lineRule="auto"/>
            </w:pPr>
            <w:r/>
            <w:r>
              <w:rPr>
                <w:rFonts w:ascii="Times New Roman" w:hAnsi="Times New Roman"/>
                <w:sz w:val="20"/>
              </w:rPr>
              <w:t>Órdenes sin facturar (cartera)</w:t>
            </w:r>
          </w:p>
        </w:tc>
        <w:tc>
          <w:tcPr>
            <w:tcW w:type="dxa" w:w="3120"/>
          </w:tcPr>
          <w:p>
            <w:pPr>
              <w:spacing w:line="276" w:lineRule="auto"/>
            </w:pPr>
            <w:r/>
            <w:r>
              <w:rPr>
                <w:rFonts w:ascii="Times New Roman" w:hAnsi="Times New Roman"/>
                <w:sz w:val="20"/>
              </w:rPr>
              <w:t>Conteo</w:t>
            </w:r>
          </w:p>
        </w:tc>
        <w:tc>
          <w:tcPr>
            <w:tcW w:type="dxa" w:w="3120"/>
          </w:tcPr>
          <w:p>
            <w:pPr>
              <w:spacing w:line="276" w:lineRule="auto"/>
            </w:pPr>
            <w:r/>
            <w:r>
              <w:rPr>
                <w:rFonts w:ascii="Times New Roman" w:hAnsi="Times New Roman"/>
                <w:sz w:val="20"/>
              </w:rPr>
              <w:t>18.912</w:t>
            </w:r>
          </w:p>
        </w:tc>
      </w:tr>
      <w:tr>
        <w:tc>
          <w:tcPr>
            <w:tcW w:type="dxa" w:w="3120"/>
          </w:tcPr>
          <w:p>
            <w:pPr>
              <w:spacing w:line="276" w:lineRule="auto"/>
            </w:pPr>
            <w:r/>
            <w:r>
              <w:rPr>
                <w:rFonts w:ascii="Times New Roman" w:hAnsi="Times New Roman"/>
                <w:sz w:val="20"/>
              </w:rPr>
              <w:t>Días promedio ejecución → facturación</w:t>
            </w:r>
          </w:p>
        </w:tc>
        <w:tc>
          <w:tcPr>
            <w:tcW w:type="dxa" w:w="3120"/>
          </w:tcPr>
          <w:p>
            <w:pPr>
              <w:spacing w:line="276" w:lineRule="auto"/>
            </w:pPr>
            <w:r/>
            <w:r>
              <w:rPr>
                <w:rFonts w:ascii="Times New Roman" w:hAnsi="Times New Roman"/>
                <w:sz w:val="20"/>
              </w:rPr>
              <w:t>Media</w:t>
            </w:r>
          </w:p>
        </w:tc>
        <w:tc>
          <w:tcPr>
            <w:tcW w:type="dxa" w:w="3120"/>
          </w:tcPr>
          <w:p>
            <w:pPr>
              <w:spacing w:line="276" w:lineRule="auto"/>
            </w:pPr>
            <w:r/>
            <w:r>
              <w:rPr>
                <w:rFonts w:ascii="Times New Roman" w:hAnsi="Times New Roman"/>
                <w:sz w:val="20"/>
              </w:rPr>
              <w:t>22.7 días</w:t>
            </w:r>
          </w:p>
        </w:tc>
      </w:tr>
    </w:tbl>
    <w:p/>
    <w:p>
      <w:pPr>
        <w:pStyle w:val="Heading3"/>
      </w:pPr>
      <w:r>
        <w:t>4.2.2 Análisis Univariado</w:t>
      </w:r>
    </w:p>
    <w:p>
      <w:r/>
      <w:r>
        <w:rPr>
          <w:b/>
        </w:rPr>
        <w:t>Distribución por Estado:</w:t>
      </w:r>
      <w:r/>
    </w:p>
    <w:p>
      <w:r>
        <w:t>El embudo de gestión muestra la siguiente distribución de las 45.000 órdenes: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pPr>
            <w:r/>
            <w:r>
              <w:rPr>
                <w:rFonts w:ascii="Times New Roman" w:hAnsi="Times New Roman"/>
                <w:b/>
                <w:sz w:val="20"/>
              </w:rPr>
              <w:t>Estado</w:t>
            </w:r>
          </w:p>
        </w:tc>
        <w:tc>
          <w:tcPr>
            <w:tcW w:type="dxa" w:w="2340"/>
          </w:tcPr>
          <w:p>
            <w:pPr>
              <w:spacing w:line="276" w:lineRule="auto"/>
            </w:pPr>
            <w:r/>
            <w:r>
              <w:rPr>
                <w:rFonts w:ascii="Times New Roman" w:hAnsi="Times New Roman"/>
                <w:b/>
                <w:sz w:val="20"/>
              </w:rPr>
              <w:t>Cantidad</w:t>
            </w:r>
          </w:p>
        </w:tc>
        <w:tc>
          <w:tcPr>
            <w:tcW w:type="dxa" w:w="2340"/>
          </w:tcPr>
          <w:p>
            <w:pPr>
              <w:spacing w:line="276" w:lineRule="auto"/>
            </w:pPr>
            <w:r/>
            <w:r>
              <w:rPr>
                <w:rFonts w:ascii="Times New Roman" w:hAnsi="Times New Roman"/>
                <w:b/>
                <w:sz w:val="20"/>
              </w:rPr>
              <w:t>Porcentaje</w:t>
            </w:r>
          </w:p>
        </w:tc>
        <w:tc>
          <w:tcPr>
            <w:tcW w:type="dxa" w:w="2340"/>
          </w:tcPr>
          <w:p>
            <w:pPr>
              <w:spacing w:line="276" w:lineRule="auto"/>
            </w:pPr>
            <w:r/>
            <w:r>
              <w:rPr>
                <w:rFonts w:ascii="Times New Roman" w:hAnsi="Times New Roman"/>
                <w:b/>
                <w:sz w:val="20"/>
              </w:rPr>
              <w:t>Categoría</w:t>
            </w:r>
          </w:p>
        </w:tc>
      </w:tr>
      <w:tr>
        <w:tc>
          <w:tcPr>
            <w:tcW w:type="dxa" w:w="2340"/>
          </w:tcPr>
          <w:p>
            <w:pPr>
              <w:spacing w:line="276" w:lineRule="auto"/>
            </w:pPr>
            <w:r/>
            <w:r>
              <w:rPr>
                <w:rFonts w:ascii="Times New Roman" w:hAnsi="Times New Roman"/>
                <w:sz w:val="20"/>
              </w:rPr>
              <w:t>Ejecutada</w:t>
            </w:r>
          </w:p>
        </w:tc>
        <w:tc>
          <w:tcPr>
            <w:tcW w:type="dxa" w:w="2340"/>
          </w:tcPr>
          <w:p>
            <w:pPr>
              <w:spacing w:line="276" w:lineRule="auto"/>
            </w:pPr>
            <w:r/>
            <w:r>
              <w:rPr>
                <w:rFonts w:ascii="Times New Roman" w:hAnsi="Times New Roman"/>
                <w:sz w:val="20"/>
              </w:rPr>
              <w:t>~13.500</w:t>
            </w:r>
          </w:p>
        </w:tc>
        <w:tc>
          <w:tcPr>
            <w:tcW w:type="dxa" w:w="2340"/>
          </w:tcPr>
          <w:p>
            <w:pPr>
              <w:spacing w:line="276" w:lineRule="auto"/>
            </w:pPr>
            <w:r/>
            <w:r>
              <w:rPr>
                <w:rFonts w:ascii="Times New Roman" w:hAnsi="Times New Roman"/>
                <w:sz w:val="20"/>
              </w:rPr>
              <w:t>30%</w:t>
            </w:r>
          </w:p>
        </w:tc>
        <w:tc>
          <w:tcPr>
            <w:tcW w:type="dxa" w:w="2340"/>
          </w:tcPr>
          <w:p>
            <w:pPr>
              <w:spacing w:line="276" w:lineRule="auto"/>
            </w:pPr>
            <w:r/>
            <w:r>
              <w:rPr>
                <w:rFonts w:ascii="Times New Roman" w:hAnsi="Times New Roman"/>
                <w:sz w:val="20"/>
              </w:rPr>
              <w:t>Completada (sin facturar)</w:t>
            </w:r>
          </w:p>
        </w:tc>
      </w:tr>
      <w:tr>
        <w:tc>
          <w:tcPr>
            <w:tcW w:type="dxa" w:w="2340"/>
          </w:tcPr>
          <w:p>
            <w:pPr>
              <w:spacing w:line="276" w:lineRule="auto"/>
            </w:pPr>
            <w:r/>
            <w:r>
              <w:rPr>
                <w:rFonts w:ascii="Times New Roman" w:hAnsi="Times New Roman"/>
                <w:sz w:val="20"/>
              </w:rPr>
              <w:t>Facturada</w:t>
            </w:r>
          </w:p>
        </w:tc>
        <w:tc>
          <w:tcPr>
            <w:tcW w:type="dxa" w:w="2340"/>
          </w:tcPr>
          <w:p>
            <w:pPr>
              <w:spacing w:line="276" w:lineRule="auto"/>
            </w:pPr>
            <w:r/>
            <w:r>
              <w:rPr>
                <w:rFonts w:ascii="Times New Roman" w:hAnsi="Times New Roman"/>
                <w:sz w:val="20"/>
              </w:rPr>
              <w:t>~9.000</w:t>
            </w:r>
          </w:p>
        </w:tc>
        <w:tc>
          <w:tcPr>
            <w:tcW w:type="dxa" w:w="2340"/>
          </w:tcPr>
          <w:p>
            <w:pPr>
              <w:spacing w:line="276" w:lineRule="auto"/>
            </w:pPr>
            <w:r/>
            <w:r>
              <w:rPr>
                <w:rFonts w:ascii="Times New Roman" w:hAnsi="Times New Roman"/>
                <w:sz w:val="20"/>
              </w:rPr>
              <w:t>20%</w:t>
            </w:r>
          </w:p>
        </w:tc>
        <w:tc>
          <w:tcPr>
            <w:tcW w:type="dxa" w:w="2340"/>
          </w:tcPr>
          <w:p>
            <w:pPr>
              <w:spacing w:line="276" w:lineRule="auto"/>
            </w:pPr>
            <w:r/>
            <w:r>
              <w:rPr>
                <w:rFonts w:ascii="Times New Roman" w:hAnsi="Times New Roman"/>
                <w:sz w:val="20"/>
              </w:rPr>
              <w:t>Completada</w:t>
            </w:r>
          </w:p>
        </w:tc>
      </w:tr>
      <w:tr>
        <w:tc>
          <w:tcPr>
            <w:tcW w:type="dxa" w:w="2340"/>
          </w:tcPr>
          <w:p>
            <w:pPr>
              <w:spacing w:line="276" w:lineRule="auto"/>
            </w:pPr>
            <w:r/>
            <w:r>
              <w:rPr>
                <w:rFonts w:ascii="Times New Roman" w:hAnsi="Times New Roman"/>
                <w:sz w:val="20"/>
              </w:rPr>
              <w:t>Soportes Radicados</w:t>
            </w:r>
          </w:p>
        </w:tc>
        <w:tc>
          <w:tcPr>
            <w:tcW w:type="dxa" w:w="2340"/>
          </w:tcPr>
          <w:p>
            <w:pPr>
              <w:spacing w:line="276" w:lineRule="auto"/>
            </w:pPr>
            <w:r/>
            <w:r>
              <w:rPr>
                <w:rFonts w:ascii="Times New Roman" w:hAnsi="Times New Roman"/>
                <w:sz w:val="20"/>
              </w:rPr>
              <w:t>~5.400</w:t>
            </w:r>
          </w:p>
        </w:tc>
        <w:tc>
          <w:tcPr>
            <w:tcW w:type="dxa" w:w="2340"/>
          </w:tcPr>
          <w:p>
            <w:pPr>
              <w:spacing w:line="276" w:lineRule="auto"/>
            </w:pPr>
            <w:r/>
            <w:r>
              <w:rPr>
                <w:rFonts w:ascii="Times New Roman" w:hAnsi="Times New Roman"/>
                <w:sz w:val="20"/>
              </w:rPr>
              <w:t>12%</w:t>
            </w:r>
          </w:p>
        </w:tc>
        <w:tc>
          <w:tcPr>
            <w:tcW w:type="dxa" w:w="2340"/>
          </w:tcPr>
          <w:p>
            <w:pPr>
              <w:spacing w:line="276" w:lineRule="auto"/>
            </w:pPr>
            <w:r/>
            <w:r>
              <w:rPr>
                <w:rFonts w:ascii="Times New Roman" w:hAnsi="Times New Roman"/>
                <w:sz w:val="20"/>
              </w:rPr>
              <w:t>Completada (sin facturar)</w:t>
            </w:r>
          </w:p>
        </w:tc>
      </w:tr>
      <w:tr>
        <w:tc>
          <w:tcPr>
            <w:tcW w:type="dxa" w:w="2340"/>
          </w:tcPr>
          <w:p>
            <w:pPr>
              <w:spacing w:line="276" w:lineRule="auto"/>
            </w:pPr>
            <w:r/>
            <w:r>
              <w:rPr>
                <w:rFonts w:ascii="Times New Roman" w:hAnsi="Times New Roman"/>
                <w:sz w:val="20"/>
              </w:rPr>
              <w:t>Programada / Asignada</w:t>
            </w:r>
          </w:p>
        </w:tc>
        <w:tc>
          <w:tcPr>
            <w:tcW w:type="dxa" w:w="2340"/>
          </w:tcPr>
          <w:p>
            <w:pPr>
              <w:spacing w:line="276" w:lineRule="auto"/>
            </w:pPr>
            <w:r/>
            <w:r>
              <w:rPr>
                <w:rFonts w:ascii="Times New Roman" w:hAnsi="Times New Roman"/>
                <w:sz w:val="20"/>
              </w:rPr>
              <w:t>~3.600</w:t>
            </w:r>
          </w:p>
        </w:tc>
        <w:tc>
          <w:tcPr>
            <w:tcW w:type="dxa" w:w="2340"/>
          </w:tcPr>
          <w:p>
            <w:pPr>
              <w:spacing w:line="276" w:lineRule="auto"/>
            </w:pPr>
            <w:r/>
            <w:r>
              <w:rPr>
                <w:rFonts w:ascii="Times New Roman" w:hAnsi="Times New Roman"/>
                <w:sz w:val="20"/>
              </w:rPr>
              <w:t>8%</w:t>
            </w:r>
          </w:p>
        </w:tc>
        <w:tc>
          <w:tcPr>
            <w:tcW w:type="dxa" w:w="2340"/>
          </w:tcPr>
          <w:p>
            <w:pPr>
              <w:spacing w:line="276" w:lineRule="auto"/>
            </w:pPr>
            <w:r/>
            <w:r>
              <w:rPr>
                <w:rFonts w:ascii="Times New Roman" w:hAnsi="Times New Roman"/>
                <w:sz w:val="20"/>
              </w:rPr>
              <w:t>En gestión</w:t>
            </w:r>
          </w:p>
        </w:tc>
      </w:tr>
      <w:tr>
        <w:tc>
          <w:tcPr>
            <w:tcW w:type="dxa" w:w="2340"/>
          </w:tcPr>
          <w:p>
            <w:pPr>
              <w:spacing w:line="276" w:lineRule="auto"/>
            </w:pPr>
            <w:r/>
            <w:r>
              <w:rPr>
                <w:rFonts w:ascii="Times New Roman" w:hAnsi="Times New Roman"/>
                <w:sz w:val="20"/>
              </w:rPr>
              <w:t>En Ejecución</w:t>
            </w:r>
          </w:p>
        </w:tc>
        <w:tc>
          <w:tcPr>
            <w:tcW w:type="dxa" w:w="2340"/>
          </w:tcPr>
          <w:p>
            <w:pPr>
              <w:spacing w:line="276" w:lineRule="auto"/>
            </w:pPr>
            <w:r/>
            <w:r>
              <w:rPr>
                <w:rFonts w:ascii="Times New Roman" w:hAnsi="Times New Roman"/>
                <w:sz w:val="20"/>
              </w:rPr>
              <w:t>~3.150</w:t>
            </w:r>
          </w:p>
        </w:tc>
        <w:tc>
          <w:tcPr>
            <w:tcW w:type="dxa" w:w="2340"/>
          </w:tcPr>
          <w:p>
            <w:pPr>
              <w:spacing w:line="276" w:lineRule="auto"/>
            </w:pPr>
            <w:r/>
            <w:r>
              <w:rPr>
                <w:rFonts w:ascii="Times New Roman" w:hAnsi="Times New Roman"/>
                <w:sz w:val="20"/>
              </w:rPr>
              <w:t>7%</w:t>
            </w:r>
          </w:p>
        </w:tc>
        <w:tc>
          <w:tcPr>
            <w:tcW w:type="dxa" w:w="2340"/>
          </w:tcPr>
          <w:p>
            <w:pPr>
              <w:spacing w:line="276" w:lineRule="auto"/>
            </w:pPr>
            <w:r/>
            <w:r>
              <w:rPr>
                <w:rFonts w:ascii="Times New Roman" w:hAnsi="Times New Roman"/>
                <w:sz w:val="20"/>
              </w:rPr>
              <w:t>En gestión</w:t>
            </w:r>
          </w:p>
        </w:tc>
      </w:tr>
      <w:tr>
        <w:tc>
          <w:tcPr>
            <w:tcW w:type="dxa" w:w="2340"/>
          </w:tcPr>
          <w:p>
            <w:pPr>
              <w:spacing w:line="276" w:lineRule="auto"/>
            </w:pPr>
            <w:r/>
            <w:r>
              <w:rPr>
                <w:rFonts w:ascii="Times New Roman" w:hAnsi="Times New Roman"/>
                <w:sz w:val="20"/>
              </w:rPr>
              <w:t>Aceptada</w:t>
            </w:r>
          </w:p>
        </w:tc>
        <w:tc>
          <w:tcPr>
            <w:tcW w:type="dxa" w:w="2340"/>
          </w:tcPr>
          <w:p>
            <w:pPr>
              <w:spacing w:line="276" w:lineRule="auto"/>
            </w:pPr>
            <w:r/>
            <w:r>
              <w:rPr>
                <w:rFonts w:ascii="Times New Roman" w:hAnsi="Times New Roman"/>
                <w:sz w:val="20"/>
              </w:rPr>
              <w:t>~2.700</w:t>
            </w:r>
          </w:p>
        </w:tc>
        <w:tc>
          <w:tcPr>
            <w:tcW w:type="dxa" w:w="2340"/>
          </w:tcPr>
          <w:p>
            <w:pPr>
              <w:spacing w:line="276" w:lineRule="auto"/>
            </w:pPr>
            <w:r/>
            <w:r>
              <w:rPr>
                <w:rFonts w:ascii="Times New Roman" w:hAnsi="Times New Roman"/>
                <w:sz w:val="20"/>
              </w:rPr>
              <w:t>6%</w:t>
            </w:r>
          </w:p>
        </w:tc>
        <w:tc>
          <w:tcPr>
            <w:tcW w:type="dxa" w:w="2340"/>
          </w:tcPr>
          <w:p>
            <w:pPr>
              <w:spacing w:line="276" w:lineRule="auto"/>
            </w:pPr>
            <w:r/>
            <w:r>
              <w:rPr>
                <w:rFonts w:ascii="Times New Roman" w:hAnsi="Times New Roman"/>
                <w:sz w:val="20"/>
              </w:rPr>
              <w:t>En gestión</w:t>
            </w:r>
          </w:p>
        </w:tc>
      </w:tr>
      <w:tr>
        <w:tc>
          <w:tcPr>
            <w:tcW w:type="dxa" w:w="2340"/>
          </w:tcPr>
          <w:p>
            <w:pPr>
              <w:spacing w:line="276" w:lineRule="auto"/>
            </w:pPr>
            <w:r/>
            <w:r>
              <w:rPr>
                <w:rFonts w:ascii="Times New Roman" w:hAnsi="Times New Roman"/>
                <w:sz w:val="20"/>
              </w:rPr>
              <w:t>Recibida</w:t>
            </w:r>
          </w:p>
        </w:tc>
        <w:tc>
          <w:tcPr>
            <w:tcW w:type="dxa" w:w="2340"/>
          </w:tcPr>
          <w:p>
            <w:pPr>
              <w:spacing w:line="276" w:lineRule="auto"/>
            </w:pPr>
            <w:r/>
            <w:r>
              <w:rPr>
                <w:rFonts w:ascii="Times New Roman" w:hAnsi="Times New Roman"/>
                <w:sz w:val="20"/>
              </w:rPr>
              <w:t>~2.250</w:t>
            </w:r>
          </w:p>
        </w:tc>
        <w:tc>
          <w:tcPr>
            <w:tcW w:type="dxa" w:w="2340"/>
          </w:tcPr>
          <w:p>
            <w:pPr>
              <w:spacing w:line="276" w:lineRule="auto"/>
            </w:pPr>
            <w:r/>
            <w:r>
              <w:rPr>
                <w:rFonts w:ascii="Times New Roman" w:hAnsi="Times New Roman"/>
                <w:sz w:val="20"/>
              </w:rPr>
              <w:t>5%</w:t>
            </w:r>
          </w:p>
        </w:tc>
        <w:tc>
          <w:tcPr>
            <w:tcW w:type="dxa" w:w="2340"/>
          </w:tcPr>
          <w:p>
            <w:pPr>
              <w:spacing w:line="276" w:lineRule="auto"/>
            </w:pPr>
            <w:r/>
            <w:r>
              <w:rPr>
                <w:rFonts w:ascii="Times New Roman" w:hAnsi="Times New Roman"/>
                <w:sz w:val="20"/>
              </w:rPr>
              <w:t>En gestión</w:t>
            </w:r>
          </w:p>
        </w:tc>
      </w:tr>
      <w:tr>
        <w:tc>
          <w:tcPr>
            <w:tcW w:type="dxa" w:w="2340"/>
          </w:tcPr>
          <w:p>
            <w:pPr>
              <w:spacing w:line="276" w:lineRule="auto"/>
            </w:pPr>
            <w:r/>
            <w:r>
              <w:rPr>
                <w:rFonts w:ascii="Times New Roman" w:hAnsi="Times New Roman"/>
                <w:sz w:val="20"/>
              </w:rPr>
              <w:t>Cancelada</w:t>
            </w:r>
          </w:p>
        </w:tc>
        <w:tc>
          <w:tcPr>
            <w:tcW w:type="dxa" w:w="2340"/>
          </w:tcPr>
          <w:p>
            <w:pPr>
              <w:spacing w:line="276" w:lineRule="auto"/>
            </w:pPr>
            <w:r/>
            <w:r>
              <w:rPr>
                <w:rFonts w:ascii="Times New Roman" w:hAnsi="Times New Roman"/>
                <w:sz w:val="20"/>
              </w:rPr>
              <w:t>~2.250</w:t>
            </w:r>
          </w:p>
        </w:tc>
        <w:tc>
          <w:tcPr>
            <w:tcW w:type="dxa" w:w="2340"/>
          </w:tcPr>
          <w:p>
            <w:pPr>
              <w:spacing w:line="276" w:lineRule="auto"/>
            </w:pPr>
            <w:r/>
            <w:r>
              <w:rPr>
                <w:rFonts w:ascii="Times New Roman" w:hAnsi="Times New Roman"/>
                <w:sz w:val="20"/>
              </w:rPr>
              <w:t>5%</w:t>
            </w:r>
          </w:p>
        </w:tc>
        <w:tc>
          <w:tcPr>
            <w:tcW w:type="dxa" w:w="2340"/>
          </w:tcPr>
          <w:p>
            <w:pPr>
              <w:spacing w:line="276" w:lineRule="auto"/>
            </w:pPr>
            <w:r/>
            <w:r>
              <w:rPr>
                <w:rFonts w:ascii="Times New Roman" w:hAnsi="Times New Roman"/>
                <w:sz w:val="20"/>
              </w:rPr>
              <w:t>Cerrada sin ingreso</w:t>
            </w:r>
          </w:p>
        </w:tc>
      </w:tr>
      <w:tr>
        <w:tc>
          <w:tcPr>
            <w:tcW w:type="dxa" w:w="2340"/>
          </w:tcPr>
          <w:p>
            <w:pPr>
              <w:spacing w:line="276" w:lineRule="auto"/>
            </w:pPr>
            <w:r/>
            <w:r>
              <w:rPr>
                <w:rFonts w:ascii="Times New Roman" w:hAnsi="Times New Roman"/>
                <w:sz w:val="20"/>
              </w:rPr>
              <w:t>Reemplazada</w:t>
            </w:r>
          </w:p>
        </w:tc>
        <w:tc>
          <w:tcPr>
            <w:tcW w:type="dxa" w:w="2340"/>
          </w:tcPr>
          <w:p>
            <w:pPr>
              <w:spacing w:line="276" w:lineRule="auto"/>
            </w:pPr>
            <w:r/>
            <w:r>
              <w:rPr>
                <w:rFonts w:ascii="Times New Roman" w:hAnsi="Times New Roman"/>
                <w:sz w:val="20"/>
              </w:rPr>
              <w:t>~1.800</w:t>
            </w:r>
          </w:p>
        </w:tc>
        <w:tc>
          <w:tcPr>
            <w:tcW w:type="dxa" w:w="2340"/>
          </w:tcPr>
          <w:p>
            <w:pPr>
              <w:spacing w:line="276" w:lineRule="auto"/>
            </w:pPr>
            <w:r/>
            <w:r>
              <w:rPr>
                <w:rFonts w:ascii="Times New Roman" w:hAnsi="Times New Roman"/>
                <w:sz w:val="20"/>
              </w:rPr>
              <w:t>4%</w:t>
            </w:r>
          </w:p>
        </w:tc>
        <w:tc>
          <w:tcPr>
            <w:tcW w:type="dxa" w:w="2340"/>
          </w:tcPr>
          <w:p>
            <w:pPr>
              <w:spacing w:line="276" w:lineRule="auto"/>
            </w:pPr>
            <w:r/>
            <w:r>
              <w:rPr>
                <w:rFonts w:ascii="Times New Roman" w:hAnsi="Times New Roman"/>
                <w:sz w:val="20"/>
              </w:rPr>
              <w:t>Cerrada sin ingreso</w:t>
            </w:r>
          </w:p>
        </w:tc>
      </w:tr>
      <w:tr>
        <w:tc>
          <w:tcPr>
            <w:tcW w:type="dxa" w:w="2340"/>
          </w:tcPr>
          <w:p>
            <w:pPr>
              <w:spacing w:line="276" w:lineRule="auto"/>
            </w:pPr>
            <w:r/>
            <w:r>
              <w:rPr>
                <w:rFonts w:ascii="Times New Roman" w:hAnsi="Times New Roman"/>
                <w:sz w:val="20"/>
              </w:rPr>
              <w:t>Rechazada</w:t>
            </w:r>
          </w:p>
        </w:tc>
        <w:tc>
          <w:tcPr>
            <w:tcW w:type="dxa" w:w="2340"/>
          </w:tcPr>
          <w:p>
            <w:pPr>
              <w:spacing w:line="276" w:lineRule="auto"/>
            </w:pPr>
            <w:r/>
            <w:r>
              <w:rPr>
                <w:rFonts w:ascii="Times New Roman" w:hAnsi="Times New Roman"/>
                <w:sz w:val="20"/>
              </w:rPr>
              <w:t>~1.350</w:t>
            </w:r>
          </w:p>
        </w:tc>
        <w:tc>
          <w:tcPr>
            <w:tcW w:type="dxa" w:w="2340"/>
          </w:tcPr>
          <w:p>
            <w:pPr>
              <w:spacing w:line="276" w:lineRule="auto"/>
            </w:pPr>
            <w:r/>
            <w:r>
              <w:rPr>
                <w:rFonts w:ascii="Times New Roman" w:hAnsi="Times New Roman"/>
                <w:sz w:val="20"/>
              </w:rPr>
              <w:t>3%</w:t>
            </w:r>
          </w:p>
        </w:tc>
        <w:tc>
          <w:tcPr>
            <w:tcW w:type="dxa" w:w="2340"/>
          </w:tcPr>
          <w:p>
            <w:pPr>
              <w:spacing w:line="276" w:lineRule="auto"/>
            </w:pPr>
            <w:r/>
            <w:r>
              <w:rPr>
                <w:rFonts w:ascii="Times New Roman" w:hAnsi="Times New Roman"/>
                <w:sz w:val="20"/>
              </w:rPr>
              <w:t>Cerrada sin ingreso</w:t>
            </w:r>
          </w:p>
        </w:tc>
      </w:tr>
    </w:tbl>
    <w:p/>
    <w:p>
      <w:r/>
      <w:r>
        <w:rPr>
          <w:b/>
        </w:rPr>
        <w:t>Hallazgo clave:</w:t>
      </w:r>
      <w:r>
        <w:t xml:space="preserve"> El 30% de las órdenes están en estado "Ejecutada" sin avanzar a facturación, representando el cuello de botella principal del proceso.</w:t>
      </w:r>
    </w:p>
    <w:p>
      <w:r/>
      <w:r>
        <w:rPr>
          <w:b/>
        </w:rPr>
        <w:t>Distribución por ARL:</w:t>
      </w:r>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b/>
                <w:sz w:val="20"/>
              </w:rPr>
              <w:t>ARL</w:t>
            </w:r>
          </w:p>
        </w:tc>
        <w:tc>
          <w:tcPr>
            <w:tcW w:type="dxa" w:w="3120"/>
          </w:tcPr>
          <w:p>
            <w:pPr>
              <w:spacing w:line="276" w:lineRule="auto"/>
            </w:pPr>
            <w:r/>
            <w:r>
              <w:rPr>
                <w:rFonts w:ascii="Times New Roman" w:hAnsi="Times New Roman"/>
                <w:b/>
                <w:sz w:val="20"/>
              </w:rPr>
              <w:t>Participación</w:t>
            </w:r>
          </w:p>
        </w:tc>
        <w:tc>
          <w:tcPr>
            <w:tcW w:type="dxa" w:w="3120"/>
          </w:tcPr>
          <w:p>
            <w:pPr>
              <w:spacing w:line="276" w:lineRule="auto"/>
            </w:pPr>
            <w:r/>
            <w:r>
              <w:rPr>
                <w:rFonts w:ascii="Times New Roman" w:hAnsi="Times New Roman"/>
                <w:b/>
                <w:sz w:val="20"/>
              </w:rPr>
              <w:t>Órdenes</w:t>
            </w:r>
          </w:p>
        </w:tc>
      </w:tr>
      <w:tr>
        <w:tc>
          <w:tcPr>
            <w:tcW w:type="dxa" w:w="3120"/>
          </w:tcPr>
          <w:p>
            <w:pPr>
              <w:spacing w:line="276" w:lineRule="auto"/>
            </w:pPr>
            <w:r/>
            <w:r>
              <w:rPr>
                <w:rFonts w:ascii="Times New Roman" w:hAnsi="Times New Roman"/>
                <w:sz w:val="20"/>
              </w:rPr>
              <w:t>Sura ARL</w:t>
            </w:r>
          </w:p>
        </w:tc>
        <w:tc>
          <w:tcPr>
            <w:tcW w:type="dxa" w:w="3120"/>
          </w:tcPr>
          <w:p>
            <w:pPr>
              <w:spacing w:line="276" w:lineRule="auto"/>
            </w:pPr>
            <w:r/>
            <w:r>
              <w:rPr>
                <w:rFonts w:ascii="Times New Roman" w:hAnsi="Times New Roman"/>
                <w:sz w:val="20"/>
              </w:rPr>
              <w:t>38%</w:t>
            </w:r>
          </w:p>
        </w:tc>
        <w:tc>
          <w:tcPr>
            <w:tcW w:type="dxa" w:w="3120"/>
          </w:tcPr>
          <w:p>
            <w:pPr>
              <w:spacing w:line="276" w:lineRule="auto"/>
            </w:pPr>
            <w:r/>
            <w:r>
              <w:rPr>
                <w:rFonts w:ascii="Times New Roman" w:hAnsi="Times New Roman"/>
                <w:sz w:val="20"/>
              </w:rPr>
              <w:t>~17.100</w:t>
            </w:r>
          </w:p>
        </w:tc>
      </w:tr>
      <w:tr>
        <w:tc>
          <w:tcPr>
            <w:tcW w:type="dxa" w:w="3120"/>
          </w:tcPr>
          <w:p>
            <w:pPr>
              <w:spacing w:line="276" w:lineRule="auto"/>
            </w:pPr>
            <w:r/>
            <w:r>
              <w:rPr>
                <w:rFonts w:ascii="Times New Roman" w:hAnsi="Times New Roman"/>
                <w:sz w:val="20"/>
              </w:rPr>
              <w:t>Colmena Seguros</w:t>
            </w:r>
          </w:p>
        </w:tc>
        <w:tc>
          <w:tcPr>
            <w:tcW w:type="dxa" w:w="3120"/>
          </w:tcPr>
          <w:p>
            <w:pPr>
              <w:spacing w:line="276" w:lineRule="auto"/>
            </w:pPr>
            <w:r/>
            <w:r>
              <w:rPr>
                <w:rFonts w:ascii="Times New Roman" w:hAnsi="Times New Roman"/>
                <w:sz w:val="20"/>
              </w:rPr>
              <w:t>32%</w:t>
            </w:r>
          </w:p>
        </w:tc>
        <w:tc>
          <w:tcPr>
            <w:tcW w:type="dxa" w:w="3120"/>
          </w:tcPr>
          <w:p>
            <w:pPr>
              <w:spacing w:line="276" w:lineRule="auto"/>
            </w:pPr>
            <w:r/>
            <w:r>
              <w:rPr>
                <w:rFonts w:ascii="Times New Roman" w:hAnsi="Times New Roman"/>
                <w:sz w:val="20"/>
              </w:rPr>
              <w:t>~14.400</w:t>
            </w:r>
          </w:p>
        </w:tc>
      </w:tr>
      <w:tr>
        <w:tc>
          <w:tcPr>
            <w:tcW w:type="dxa" w:w="3120"/>
          </w:tcPr>
          <w:p>
            <w:pPr>
              <w:spacing w:line="276" w:lineRule="auto"/>
            </w:pPr>
            <w:r/>
            <w:r>
              <w:rPr>
                <w:rFonts w:ascii="Times New Roman" w:hAnsi="Times New Roman"/>
                <w:sz w:val="20"/>
              </w:rPr>
              <w:t>Bolívar ARL</w:t>
            </w:r>
          </w:p>
        </w:tc>
        <w:tc>
          <w:tcPr>
            <w:tcW w:type="dxa" w:w="3120"/>
          </w:tcPr>
          <w:p>
            <w:pPr>
              <w:spacing w:line="276" w:lineRule="auto"/>
            </w:pPr>
            <w:r/>
            <w:r>
              <w:rPr>
                <w:rFonts w:ascii="Times New Roman" w:hAnsi="Times New Roman"/>
                <w:sz w:val="20"/>
              </w:rPr>
              <w:t>22%</w:t>
            </w:r>
          </w:p>
        </w:tc>
        <w:tc>
          <w:tcPr>
            <w:tcW w:type="dxa" w:w="3120"/>
          </w:tcPr>
          <w:p>
            <w:pPr>
              <w:spacing w:line="276" w:lineRule="auto"/>
            </w:pPr>
            <w:r/>
            <w:r>
              <w:rPr>
                <w:rFonts w:ascii="Times New Roman" w:hAnsi="Times New Roman"/>
                <w:sz w:val="20"/>
              </w:rPr>
              <w:t>~9.900</w:t>
            </w:r>
          </w:p>
        </w:tc>
      </w:tr>
      <w:tr>
        <w:tc>
          <w:tcPr>
            <w:tcW w:type="dxa" w:w="3120"/>
          </w:tcPr>
          <w:p>
            <w:pPr>
              <w:spacing w:line="276" w:lineRule="auto"/>
            </w:pPr>
            <w:r/>
            <w:r>
              <w:rPr>
                <w:rFonts w:ascii="Times New Roman" w:hAnsi="Times New Roman"/>
                <w:sz w:val="20"/>
              </w:rPr>
              <w:t>Seguros Alfa</w:t>
            </w:r>
          </w:p>
        </w:tc>
        <w:tc>
          <w:tcPr>
            <w:tcW w:type="dxa" w:w="3120"/>
          </w:tcPr>
          <w:p>
            <w:pPr>
              <w:spacing w:line="276" w:lineRule="auto"/>
            </w:pPr>
            <w:r/>
            <w:r>
              <w:rPr>
                <w:rFonts w:ascii="Times New Roman" w:hAnsi="Times New Roman"/>
                <w:sz w:val="20"/>
              </w:rPr>
              <w:t>8%</w:t>
            </w:r>
          </w:p>
        </w:tc>
        <w:tc>
          <w:tcPr>
            <w:tcW w:type="dxa" w:w="3120"/>
          </w:tcPr>
          <w:p>
            <w:pPr>
              <w:spacing w:line="276" w:lineRule="auto"/>
            </w:pPr>
            <w:r/>
            <w:r>
              <w:rPr>
                <w:rFonts w:ascii="Times New Roman" w:hAnsi="Times New Roman"/>
                <w:sz w:val="20"/>
              </w:rPr>
              <w:t>~3.600</w:t>
            </w:r>
          </w:p>
        </w:tc>
      </w:tr>
    </w:tbl>
    <w:p/>
    <w:p>
      <w:pPr>
        <w:pStyle w:val="Heading3"/>
      </w:pPr>
      <w:r>
        <w:t>4.2.3 Análisis Bivariado</w:t>
      </w:r>
    </w:p>
    <w:p>
      <w:r/>
      <w:r>
        <w:rPr>
          <w:b/>
        </w:rPr>
        <w:t>Cumplimiento por ARL:</w:t>
      </w:r>
      <w:r/>
    </w:p>
    <w:p>
      <w:r>
        <w:t>Se identificó una brecha significativa en la tasa de cumplimiento entre administradoras. La ARL con mejor desempeño supera por aproximadamente 1 punto porcentual a la de menor cumplimiento. Esta diferencia, aunque numéricamente pequeña en porcentaje, representa cientos de órdenes y millones de pesos en diferencia operativa.</w:t>
      </w:r>
    </w:p>
    <w:p>
      <w:r/>
      <w:r>
        <w:rPr>
          <w:b/>
        </w:rPr>
        <w:t>Ingresos por Tipo de Servicio:</w:t>
      </w:r>
      <w:r/>
    </w:p>
    <w:p>
      <w:pPr>
        <w:pStyle w:val="ListBullet"/>
      </w:pPr>
      <w:r>
        <w:t>Asesoría: valores unitarios más altos ($66.535–$84.000)</w:t>
      </w:r>
    </w:p>
    <w:p>
      <w:pPr>
        <w:pStyle w:val="ListBullet"/>
      </w:pPr>
      <w:r>
        <w:t>Pruebas Complementarias: valores intermedios ($17.000–$103.500)</w:t>
      </w:r>
    </w:p>
    <w:p>
      <w:pPr>
        <w:pStyle w:val="ListBullet"/>
      </w:pPr>
      <w:r>
        <w:t>Laboratorio: valores más bajos ($11.115–$54.184)</w:t>
      </w:r>
    </w:p>
    <w:p>
      <w:pPr>
        <w:pStyle w:val="ListBullet"/>
      </w:pPr>
      <w:r>
        <w:t>Capacitación: valor estandarizado por sesión ($66.535)</w:t>
      </w:r>
    </w:p>
    <w:p>
      <w:r/>
      <w:r>
        <w:rPr>
          <w:b/>
        </w:rPr>
        <w:t>Estacionalidad temporal:</w:t>
      </w:r>
      <w:r/>
    </w:p>
    <w:p>
      <w:r>
        <w:t>Los meses de enero-febrero concentran la mayor actividad (renovación de contratos), mientras que julio y diciembre presentan mínimos por vacaciones. Se observa un crecimiento anual sostenido del volumen de órdenes (60% en 2020 → 115% en 2026).</w:t>
      </w:r>
    </w:p>
    <w:p>
      <w:pPr>
        <w:pStyle w:val="Heading3"/>
      </w:pPr>
      <w:r>
        <w:t>4.2.4 Identificación de Anomalías</w:t>
      </w:r>
    </w:p>
    <w:p>
      <w:pPr>
        <w:pStyle w:val="ListBullet"/>
      </w:pPr>
      <w:r/>
      <w:r>
        <w:rPr>
          <w:b/>
        </w:rPr>
        <w:t>Órdenes con valor $0:</w:t>
      </w:r>
      <w:r>
        <w:t xml:space="preserve"> Se identificaron órdenes sin valor facturado, correspondientes a servicios cortesía o errores de registro.</w:t>
      </w:r>
    </w:p>
    <w:p>
      <w:pPr>
        <w:pStyle w:val="ListBullet"/>
      </w:pPr>
      <w:r/>
      <w:r>
        <w:rPr>
          <w:b/>
        </w:rPr>
        <w:t>Fechas futuras:</w:t>
      </w:r>
      <w:r>
        <w:t xml:space="preserve"> Algunas órdenes registraban fechas posteriores a la fecha de análisis, filtradas durante el ETL.</w:t>
      </w:r>
    </w:p>
    <w:p>
      <w:pPr>
        <w:pStyle w:val="ListBullet"/>
      </w:pPr>
      <w:r/>
      <w:r>
        <w:rPr>
          <w:b/>
        </w:rPr>
        <w:t>Órdenes sin ARL asignada:</w:t>
      </w:r>
      <w:r>
        <w:t xml:space="preserve"> Campos vacíos detectados y tratados como cadena vacía con reporte de error en la carga.</w:t>
      </w:r>
    </w:p>
    <w:p>
      <w:pPr>
        <w:pStyle w:val="Heading2"/>
      </w:pPr>
      <w:r>
        <w:t>4.3 Modelado y Experimentación</w:t>
      </w:r>
    </w:p>
    <w:p>
      <w:pPr>
        <w:pStyle w:val="Heading3"/>
      </w:pPr>
      <w:r>
        <w:t>4.3.1 Justificación del Algoritmo</w:t>
      </w:r>
    </w:p>
    <w:p>
      <w:r>
        <w:t xml:space="preserve">Se seleccionó </w:t>
      </w:r>
      <w:r>
        <w:rPr>
          <w:b/>
        </w:rPr>
        <w:t>Regresión Lineal Simple (OLS)</w:t>
      </w:r>
      <w:r>
        <w:t xml:space="preserve"> como el método predictivo del proyecto por las siguientes razones:³</w:t>
      </w:r>
    </w:p>
    <w:p>
      <w:pPr>
        <w:pStyle w:val="ListNumber"/>
      </w:pPr>
      <w:r/>
      <w:r>
        <w:rPr>
          <w:b/>
        </w:rPr>
        <w:t>Naturaleza del problema:</w:t>
      </w:r>
      <w:r>
        <w:t xml:space="preserve"> La variable dependiente (ingresos mensuales por ARL) es continua y presenta una tendencia temporal aproximadamente lineal con estacionalidad leve.</w:t>
      </w:r>
    </w:p>
    <w:p>
      <w:pPr>
        <w:pStyle w:val="ListNumber"/>
      </w:pPr>
      <w:r/>
      <w:r>
        <w:rPr>
          <w:b/>
        </w:rPr>
        <w:t>Interpretabilidad:</w:t>
      </w:r>
      <w:r>
        <w:t xml:space="preserve"> El equipo administrativo de la IPS no tiene formación técnica en ciencia de datos. Un modelo lineal es transparente: la pendiente indica directamente si los ingresos crecen o decrecen, y en qué magnitud mensual.</w:t>
      </w:r>
    </w:p>
    <w:p>
      <w:pPr>
        <w:pStyle w:val="ListNumber"/>
      </w:pPr>
      <w:r/>
      <w:r>
        <w:rPr>
          <w:b/>
        </w:rPr>
        <w:t>Volumen de datos:</w:t>
      </w:r>
      <w:r>
        <w:t xml:space="preserve"> Con 12 puntos de datos por serie (meses históricos), un modelo más complejo (Random Forest, redes neuronales) sufriría de sobreajuste.</w:t>
      </w:r>
    </w:p>
    <w:p>
      <w:pPr>
        <w:pStyle w:val="ListNumber"/>
      </w:pPr>
      <w:r/>
      <w:r>
        <w:rPr>
          <w:b/>
        </w:rPr>
        <w:t>Cero dependencias externas:</w:t>
      </w:r>
      <w:r>
        <w:t xml:space="preserve"> La implementación en Python puro (sin NumPy, SciPy ni Scikit-learn) garantiza que el despliegue en Render.com no requiera librerías adicionales de ML, reduciendo tiempos de build y costos de infraestructura.</w:t>
      </w:r>
    </w:p>
    <w:p>
      <w:r/>
      <w:r>
        <w:rPr>
          <w:b/>
        </w:rPr>
        <w:t>¿Por qué no otros algoritmos?</w:t>
      </w:r>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Alternativa</w:t>
            </w:r>
          </w:p>
        </w:tc>
        <w:tc>
          <w:tcPr>
            <w:tcW w:type="dxa" w:w="4680"/>
          </w:tcPr>
          <w:p>
            <w:pPr>
              <w:spacing w:line="276" w:lineRule="auto"/>
            </w:pPr>
            <w:r/>
            <w:r>
              <w:rPr>
                <w:rFonts w:ascii="Times New Roman" w:hAnsi="Times New Roman"/>
                <w:b/>
                <w:sz w:val="20"/>
              </w:rPr>
              <w:t>Razón de descarte</w:t>
            </w:r>
          </w:p>
        </w:tc>
      </w:tr>
      <w:tr>
        <w:tc>
          <w:tcPr>
            <w:tcW w:type="dxa" w:w="4680"/>
          </w:tcPr>
          <w:p>
            <w:pPr>
              <w:spacing w:line="276" w:lineRule="auto"/>
            </w:pPr>
            <w:r/>
            <w:r>
              <w:rPr>
                <w:rFonts w:ascii="Times New Roman" w:hAnsi="Times New Roman"/>
                <w:sz w:val="20"/>
              </w:rPr>
              <w:t>Random Forest</w:t>
            </w:r>
          </w:p>
        </w:tc>
        <w:tc>
          <w:tcPr>
            <w:tcW w:type="dxa" w:w="4680"/>
          </w:tcPr>
          <w:p>
            <w:pPr>
              <w:spacing w:line="276" w:lineRule="auto"/>
            </w:pPr>
            <w:r/>
            <w:r>
              <w:rPr>
                <w:rFonts w:ascii="Times New Roman" w:hAnsi="Times New Roman"/>
                <w:sz w:val="20"/>
              </w:rPr>
              <w:t>Sobreajuste con solo 12 puntos temporales; no interpretable por usuario administrativo</w:t>
            </w:r>
          </w:p>
        </w:tc>
      </w:tr>
      <w:tr>
        <w:tc>
          <w:tcPr>
            <w:tcW w:type="dxa" w:w="4680"/>
          </w:tcPr>
          <w:p>
            <w:pPr>
              <w:spacing w:line="276" w:lineRule="auto"/>
            </w:pPr>
            <w:r/>
            <w:r>
              <w:rPr>
                <w:rFonts w:ascii="Times New Roman" w:hAnsi="Times New Roman"/>
                <w:sz w:val="20"/>
              </w:rPr>
              <w:t>ARIMA/SARIMA</w:t>
            </w:r>
          </w:p>
        </w:tc>
        <w:tc>
          <w:tcPr>
            <w:tcW w:type="dxa" w:w="4680"/>
          </w:tcPr>
          <w:p>
            <w:pPr>
              <w:spacing w:line="276" w:lineRule="auto"/>
            </w:pPr>
            <w:r/>
            <w:r>
              <w:rPr>
                <w:rFonts w:ascii="Times New Roman" w:hAnsi="Times New Roman"/>
                <w:sz w:val="20"/>
              </w:rPr>
              <w:t>Requiere mínimo 36 puntos por serie para estimar estacionalidad; depende de statsmodels</w:t>
            </w:r>
          </w:p>
        </w:tc>
      </w:tr>
      <w:tr>
        <w:tc>
          <w:tcPr>
            <w:tcW w:type="dxa" w:w="4680"/>
          </w:tcPr>
          <w:p>
            <w:pPr>
              <w:spacing w:line="276" w:lineRule="auto"/>
            </w:pPr>
            <w:r/>
            <w:r>
              <w:rPr>
                <w:rFonts w:ascii="Times New Roman" w:hAnsi="Times New Roman"/>
                <w:sz w:val="20"/>
              </w:rPr>
              <w:t>Redes neuronales</w:t>
            </w:r>
          </w:p>
        </w:tc>
        <w:tc>
          <w:tcPr>
            <w:tcW w:type="dxa" w:w="4680"/>
          </w:tcPr>
          <w:p>
            <w:pPr>
              <w:spacing w:line="276" w:lineRule="auto"/>
            </w:pPr>
            <w:r/>
            <w:r>
              <w:rPr>
                <w:rFonts w:ascii="Times New Roman" w:hAnsi="Times New Roman"/>
                <w:sz w:val="20"/>
              </w:rPr>
              <w:t>Complejidad injustificada para el volumen de datos disponible</w:t>
            </w:r>
          </w:p>
        </w:tc>
      </w:tr>
      <w:tr>
        <w:tc>
          <w:tcPr>
            <w:tcW w:type="dxa" w:w="4680"/>
          </w:tcPr>
          <w:p>
            <w:pPr>
              <w:spacing w:line="276" w:lineRule="auto"/>
            </w:pPr>
            <w:r/>
            <w:r>
              <w:rPr>
                <w:rFonts w:ascii="Times New Roman" w:hAnsi="Times New Roman"/>
                <w:sz w:val="20"/>
              </w:rPr>
              <w:t>Clustering (K-means)</w:t>
            </w:r>
          </w:p>
        </w:tc>
        <w:tc>
          <w:tcPr>
            <w:tcW w:type="dxa" w:w="4680"/>
          </w:tcPr>
          <w:p>
            <w:pPr>
              <w:spacing w:line="276" w:lineRule="auto"/>
            </w:pPr>
            <w:r/>
            <w:r>
              <w:rPr>
                <w:rFonts w:ascii="Times New Roman" w:hAnsi="Times New Roman"/>
                <w:sz w:val="20"/>
              </w:rPr>
              <w:t>No aplica al problema de proyección temporal; podría complementar en segmentación futura</w:t>
            </w:r>
          </w:p>
        </w:tc>
      </w:tr>
    </w:tbl>
    <w:p/>
    <w:p>
      <w:pPr>
        <w:ind w:left="720"/>
      </w:pPr>
      <w:r>
        <w:rPr>
          <w:i/>
          <w:sz w:val="20"/>
        </w:rPr>
        <w:t xml:space="preserve">³ </w:t>
      </w:r>
      <w:r>
        <w:rPr>
          <w:b/>
          <w:i/>
          <w:sz w:val="20"/>
        </w:rPr>
        <w:t>Nota al pie (Word):</w:t>
      </w:r>
      <w:r>
        <w:rPr>
          <w:i/>
          <w:sz w:val="20"/>
        </w:rPr>
        <w:t xml:space="preserve"> Montgomery, D. C., Peck, E. A., &amp; Vining, G. G. (2012). </w:t>
      </w:r>
      <w:r>
        <w:rPr>
          <w:i/>
          <w:sz w:val="20"/>
        </w:rPr>
        <w:t>Introduction to linear regression analysis</w:t>
      </w:r>
      <w:r>
        <w:rPr>
          <w:i/>
          <w:sz w:val="20"/>
        </w:rPr>
        <w:t xml:space="preserve"> (5.ª ed.). Wiley. La regresión lineal simple es el modelo predictivo recomendado cuando se dispone de una variable independiente (tiempo) y una variable dependiente continua (ingresos) con tendencia lineal.</w:t>
      </w:r>
    </w:p>
    <w:p>
      <w:pPr>
        <w:pStyle w:val="Heading3"/>
      </w:pPr>
      <w:r>
        <w:t>4.3.2 Configuración del Modelo</w:t>
      </w:r>
    </w:p>
    <w:p>
      <w:r/>
      <w:r>
        <w:rPr>
          <w:b/>
        </w:rPr>
        <w:t>Datos de entrada:</w:t>
      </w:r>
      <w:r/>
    </w:p>
    <w:p>
      <w:pPr>
        <w:pStyle w:val="ListBullet"/>
      </w:pPr>
      <w:r>
        <w:t>Variable independiente (x): índice del mes (0, 1, 2, ..., n-1)</w:t>
      </w:r>
    </w:p>
    <w:p>
      <w:pPr>
        <w:pStyle w:val="ListBullet"/>
      </w:pPr>
      <w:r>
        <w:t>Variable dependiente (y): ingreso total mensual por ARL en COP</w:t>
      </w:r>
    </w:p>
    <w:p>
      <w:r/>
      <w:r>
        <w:rPr>
          <w:b/>
        </w:rPr>
        <w:t>Períodos configurables:</w:t>
      </w:r>
      <w:r/>
    </w:p>
    <w:p>
      <w:pPr>
        <w:pStyle w:val="ListBullet"/>
      </w:pPr>
      <w:r>
        <w:t>6 meses históricos (corto plazo, más reactivo)</w:t>
      </w:r>
    </w:p>
    <w:p>
      <w:pPr>
        <w:pStyle w:val="ListBullet"/>
      </w:pPr>
      <w:r>
        <w:t>12 meses históricos (estándar, recomendado)</w:t>
      </w:r>
    </w:p>
    <w:p>
      <w:pPr>
        <w:pStyle w:val="ListBullet"/>
      </w:pPr>
      <w:r>
        <w:t>24 meses históricos (largo plazo, más estable)</w:t>
      </w:r>
    </w:p>
    <w:p>
      <w:r/>
      <w:r>
        <w:rPr>
          <w:b/>
        </w:rPr>
        <w:t>Exclusión del mes en curso:</w:t>
      </w:r>
      <w:r>
        <w:t xml:space="preserve"> Se excluye el mes actual de los datos de entrenamiento para evitar sesgo por datos parciales.</w:t>
      </w:r>
    </w:p>
    <w:p>
      <w:r/>
      <w:r>
        <w:rPr>
          <w:b/>
        </w:rPr>
        <w:t>Fórmula implementada:</w:t>
      </w:r>
      <w:r/>
    </w:p>
    <w:p>
      <w:pPr>
        <w:spacing w:line="240" w:lineRule="auto"/>
        <w:ind w:left="567"/>
      </w:pPr>
      <w:r>
        <w:rPr>
          <w:rFonts w:ascii="Courier New" w:hAnsi="Courier New"/>
          <w:sz w:val="18"/>
        </w:rPr>
        <w:t>b₁ (pendiente) = (n·Σxy − Σx·Σy) / (n·Σx² − (Σx)²)</w:t>
        <w:br/>
        <w:t>b₀ (intercepto) = (Σy − b₁·Σx) / n</w:t>
        <w:br/>
        <w:t>ŷ[i] = max(0, b₀ + b₁ · i)    para i = n, n+1, ..., n+5</w:t>
      </w:r>
    </w:p>
    <w:p>
      <w:r>
        <w:t>La restricción `max(0, ŷ)` garantiza que ninguna proyección sea negativa, lo cual carecería de sentido en el contexto de ingresos por servicios de salud.</w:t>
      </w:r>
    </w:p>
    <w:p>
      <w:pPr>
        <w:pStyle w:val="Heading3"/>
      </w:pPr>
      <w:r>
        <w:t>4.3.3 Métricas de Evaluación</w:t>
      </w:r>
    </w:p>
    <w:p>
      <w:r>
        <w:t>Se aplicaron las siguientes métricas sobre los datos de entrenamiento para evaluar el ajuste del modelo: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76" w:lineRule="auto"/>
            </w:pPr>
            <w:r/>
            <w:r>
              <w:rPr>
                <w:rFonts w:ascii="Times New Roman" w:hAnsi="Times New Roman"/>
                <w:b/>
                <w:sz w:val="20"/>
              </w:rPr>
              <w:t>Métrica</w:t>
            </w:r>
          </w:p>
        </w:tc>
        <w:tc>
          <w:tcPr>
            <w:tcW w:type="dxa" w:w="1872"/>
          </w:tcPr>
          <w:p>
            <w:pPr>
              <w:spacing w:line="276" w:lineRule="auto"/>
            </w:pPr>
            <w:r/>
            <w:r>
              <w:rPr>
                <w:rFonts w:ascii="Times New Roman" w:hAnsi="Times New Roman"/>
                <w:b/>
                <w:sz w:val="20"/>
              </w:rPr>
              <w:t>Fórmula</w:t>
            </w:r>
          </w:p>
        </w:tc>
        <w:tc>
          <w:tcPr>
            <w:tcW w:type="dxa" w:w="1872"/>
          </w:tcPr>
          <w:p>
            <w:pPr>
              <w:spacing w:line="276" w:lineRule="auto"/>
            </w:pPr>
            <w:r/>
            <w:r>
              <w:rPr>
                <w:rFonts w:ascii="Times New Roman" w:hAnsi="Times New Roman"/>
                <w:b/>
                <w:sz w:val="20"/>
              </w:rPr>
              <w:t>Interpretación</w:t>
            </w:r>
          </w:p>
        </w:tc>
        <w:tc>
          <w:tcPr>
            <w:tcW w:type="dxa" w:w="1872"/>
          </w:tcPr>
          <w:p/>
        </w:tc>
        <w:tc>
          <w:tcPr>
            <w:tcW w:type="dxa" w:w="1872"/>
          </w:tcPr>
          <w:p/>
        </w:tc>
      </w:tr>
      <w:tr>
        <w:tc>
          <w:tcPr>
            <w:tcW w:type="dxa" w:w="1872"/>
          </w:tcPr>
          <w:p>
            <w:pPr>
              <w:spacing w:line="276" w:lineRule="auto"/>
            </w:pPr>
            <w:r/>
            <w:r>
              <w:rPr>
                <w:rFonts w:ascii="Times New Roman" w:hAnsi="Times New Roman"/>
                <w:sz w:val="20"/>
              </w:rPr>
              <w:t>**RMSE**</w:t>
            </w:r>
          </w:p>
        </w:tc>
        <w:tc>
          <w:tcPr>
            <w:tcW w:type="dxa" w:w="1872"/>
          </w:tcPr>
          <w:p>
            <w:pPr>
              <w:spacing w:line="276" w:lineRule="auto"/>
            </w:pPr>
            <w:r/>
            <w:r>
              <w:rPr>
                <w:rFonts w:ascii="Times New Roman" w:hAnsi="Times New Roman"/>
                <w:sz w:val="20"/>
              </w:rPr>
              <w:t>√(Σ(ŷ−y)²/n)</w:t>
            </w:r>
          </w:p>
        </w:tc>
        <w:tc>
          <w:tcPr>
            <w:tcW w:type="dxa" w:w="1872"/>
          </w:tcPr>
          <w:p>
            <w:pPr>
              <w:spacing w:line="276" w:lineRule="auto"/>
            </w:pPr>
            <w:r/>
            <w:r>
              <w:rPr>
                <w:rFonts w:ascii="Times New Roman" w:hAnsi="Times New Roman"/>
                <w:sz w:val="20"/>
              </w:rPr>
              <w:t>Error promedio en COP; penaliza errores grandes</w:t>
            </w:r>
          </w:p>
        </w:tc>
        <w:tc>
          <w:tcPr>
            <w:tcW w:type="dxa" w:w="1872"/>
          </w:tcPr>
          <w:p/>
        </w:tc>
        <w:tc>
          <w:tcPr>
            <w:tcW w:type="dxa" w:w="1872"/>
          </w:tcPr>
          <w:p/>
        </w:tc>
      </w:tr>
      <w:tr>
        <w:tc>
          <w:tcPr>
            <w:tcW w:type="dxa" w:w="1872"/>
          </w:tcPr>
          <w:p>
            <w:pPr>
              <w:spacing w:line="276" w:lineRule="auto"/>
            </w:pPr>
            <w:r/>
            <w:r>
              <w:rPr>
                <w:rFonts w:ascii="Times New Roman" w:hAnsi="Times New Roman"/>
                <w:sz w:val="20"/>
              </w:rPr>
              <w:t>**MAE**</w:t>
            </w:r>
          </w:p>
        </w:tc>
        <w:tc>
          <w:tcPr>
            <w:tcW w:type="dxa" w:w="1872"/>
          </w:tcPr>
          <w:p>
            <w:pPr>
              <w:spacing w:line="276" w:lineRule="auto"/>
            </w:pPr>
            <w:r/>
            <w:r>
              <w:rPr>
                <w:rFonts w:ascii="Times New Roman" w:hAnsi="Times New Roman"/>
                <w:sz w:val="20"/>
              </w:rPr>
              <w:t>Σ\</w:t>
            </w:r>
          </w:p>
        </w:tc>
        <w:tc>
          <w:tcPr>
            <w:tcW w:type="dxa" w:w="1872"/>
          </w:tcPr>
          <w:p>
            <w:pPr>
              <w:spacing w:line="276" w:lineRule="auto"/>
            </w:pPr>
            <w:r/>
            <w:r>
              <w:rPr>
                <w:rFonts w:ascii="Times New Roman" w:hAnsi="Times New Roman"/>
                <w:sz w:val="20"/>
              </w:rPr>
              <w:t>ŷ−y\</w:t>
            </w:r>
          </w:p>
        </w:tc>
        <w:tc>
          <w:tcPr>
            <w:tcW w:type="dxa" w:w="1872"/>
          </w:tcPr>
          <w:p>
            <w:pPr>
              <w:spacing w:line="276" w:lineRule="auto"/>
            </w:pPr>
            <w:r/>
            <w:r>
              <w:rPr>
                <w:rFonts w:ascii="Times New Roman" w:hAnsi="Times New Roman"/>
                <w:sz w:val="20"/>
              </w:rPr>
              <w:t>/n</w:t>
            </w:r>
          </w:p>
        </w:tc>
        <w:tc>
          <w:tcPr>
            <w:tcW w:type="dxa" w:w="1872"/>
          </w:tcPr>
          <w:p>
            <w:pPr>
              <w:spacing w:line="276" w:lineRule="auto"/>
            </w:pPr>
            <w:r/>
            <w:r>
              <w:rPr>
                <w:rFonts w:ascii="Times New Roman" w:hAnsi="Times New Roman"/>
                <w:sz w:val="20"/>
              </w:rPr>
              <w:t>Error absoluto medio; robusta a outliers</w:t>
            </w:r>
          </w:p>
        </w:tc>
      </w:tr>
      <w:tr>
        <w:tc>
          <w:tcPr>
            <w:tcW w:type="dxa" w:w="1872"/>
          </w:tcPr>
          <w:p>
            <w:pPr>
              <w:spacing w:line="276" w:lineRule="auto"/>
            </w:pPr>
            <w:r/>
            <w:r>
              <w:rPr>
                <w:rFonts w:ascii="Times New Roman" w:hAnsi="Times New Roman"/>
                <w:sz w:val="20"/>
              </w:rPr>
              <w:t>**R²**</w:t>
            </w:r>
          </w:p>
        </w:tc>
        <w:tc>
          <w:tcPr>
            <w:tcW w:type="dxa" w:w="1872"/>
          </w:tcPr>
          <w:p>
            <w:pPr>
              <w:spacing w:line="276" w:lineRule="auto"/>
            </w:pPr>
            <w:r/>
            <w:r>
              <w:rPr>
                <w:rFonts w:ascii="Times New Roman" w:hAnsi="Times New Roman"/>
                <w:sz w:val="20"/>
              </w:rPr>
              <w:t>1 − SS_res/SS_tot</w:t>
            </w:r>
          </w:p>
        </w:tc>
        <w:tc>
          <w:tcPr>
            <w:tcW w:type="dxa" w:w="1872"/>
          </w:tcPr>
          <w:p>
            <w:pPr>
              <w:spacing w:line="276" w:lineRule="auto"/>
            </w:pPr>
            <w:r/>
            <w:r>
              <w:rPr>
                <w:rFonts w:ascii="Times New Roman" w:hAnsi="Times New Roman"/>
                <w:sz w:val="20"/>
              </w:rPr>
              <w:t>Proporción de varianza explicada (0 a 1)</w:t>
            </w:r>
          </w:p>
        </w:tc>
        <w:tc>
          <w:tcPr>
            <w:tcW w:type="dxa" w:w="1872"/>
          </w:tcPr>
          <w:p/>
        </w:tc>
        <w:tc>
          <w:tcPr>
            <w:tcW w:type="dxa" w:w="1872"/>
          </w:tcPr>
          <w:p/>
        </w:tc>
      </w:tr>
    </w:tbl>
    <w:p/>
    <w:p>
      <w:pPr>
        <w:pStyle w:val="Heading2"/>
      </w:pPr>
      <w:r>
        <w:t>4.4 Validación del Modelo</w:t>
      </w:r>
    </w:p>
    <w:p>
      <w:pPr>
        <w:pStyle w:val="Heading3"/>
      </w:pPr>
      <w:r>
        <w:t>4.4.1 Validación Holdout</w:t>
      </w:r>
    </w:p>
    <w:p>
      <w:r>
        <w:t xml:space="preserve">Se implementó validación </w:t>
      </w:r>
      <w:r>
        <w:rPr>
          <w:b/>
        </w:rPr>
        <w:t>holdout</w:t>
      </w:r>
      <w:r>
        <w:t xml:space="preserve"> con los últimos 3 meses del histórico como conjunto de prueba:</w:t>
      </w:r>
    </w:p>
    <w:p>
      <w:r/>
      <w:r>
        <w:rPr>
          <w:b/>
        </w:rPr>
        <w:t>Procedimiento:</w:t>
      </w:r>
      <w:r/>
    </w:p>
    <w:p>
      <w:pPr>
        <w:pStyle w:val="ListNumber"/>
      </w:pPr>
      <w:r>
        <w:t>Se toman los últimos 12 meses completos de datos.</w:t>
      </w:r>
    </w:p>
    <w:p>
      <w:pPr>
        <w:pStyle w:val="ListNumber"/>
      </w:pPr>
      <w:r>
        <w:t>Se separan los meses 1–9 como conjunto de entrenamiento.</w:t>
      </w:r>
    </w:p>
    <w:p>
      <w:pPr>
        <w:pStyle w:val="ListNumber"/>
      </w:pPr>
      <w:r>
        <w:t>Se reservan los meses 10–12 como conjunto de prueba.</w:t>
      </w:r>
    </w:p>
    <w:p>
      <w:pPr>
        <w:pStyle w:val="ListNumber"/>
      </w:pPr>
      <w:r>
        <w:t>Se calcula la regresión sobre el conjunto de entrenamiento.</w:t>
      </w:r>
    </w:p>
    <w:p>
      <w:pPr>
        <w:pStyle w:val="ListNumber"/>
      </w:pPr>
      <w:r>
        <w:t>Se proyectan los meses 10–12 con el modelo entrenado.</w:t>
      </w:r>
    </w:p>
    <w:p>
      <w:pPr>
        <w:pStyle w:val="ListNumber"/>
      </w:pPr>
      <w:r>
        <w:t>Se comparan las proyecciones con los valores reales.</w:t>
      </w:r>
    </w:p>
    <w:p>
      <w:r>
        <w:t>Este proceso se ejecuta de forma independiente para cada una de las 4 ARLs.</w:t>
      </w:r>
    </w:p>
    <w:p>
      <w:pPr>
        <w:pStyle w:val="Heading3"/>
      </w:pPr>
      <w:r>
        <w:t>4.4.2 Validación Funcional con Usuarios</w:t>
      </w:r>
    </w:p>
    <w:p>
      <w:r>
        <w:t>Adicionalmente, se realizó validación funcional con el personal administrativo de la IPS:⁴</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b/>
                <w:sz w:val="20"/>
              </w:rPr>
              <w:t>Criterio validado</w:t>
            </w:r>
          </w:p>
        </w:tc>
        <w:tc>
          <w:tcPr>
            <w:tcW w:type="dxa" w:w="3120"/>
          </w:tcPr>
          <w:p>
            <w:pPr>
              <w:spacing w:line="276" w:lineRule="auto"/>
            </w:pPr>
            <w:r/>
            <w:r>
              <w:rPr>
                <w:rFonts w:ascii="Times New Roman" w:hAnsi="Times New Roman"/>
                <w:b/>
                <w:sz w:val="20"/>
              </w:rPr>
              <w:t>Método</w:t>
            </w:r>
          </w:p>
        </w:tc>
        <w:tc>
          <w:tcPr>
            <w:tcW w:type="dxa" w:w="3120"/>
          </w:tcPr>
          <w:p>
            <w:pPr>
              <w:spacing w:line="276" w:lineRule="auto"/>
            </w:pPr>
            <w:r/>
            <w:r>
              <w:rPr>
                <w:rFonts w:ascii="Times New Roman" w:hAnsi="Times New Roman"/>
                <w:b/>
                <w:sz w:val="20"/>
              </w:rPr>
              <w:t>Resultado</w:t>
            </w:r>
          </w:p>
        </w:tc>
      </w:tr>
      <w:tr>
        <w:tc>
          <w:tcPr>
            <w:tcW w:type="dxa" w:w="3120"/>
          </w:tcPr>
          <w:p>
            <w:pPr>
              <w:spacing w:line="276" w:lineRule="auto"/>
            </w:pPr>
            <w:r/>
            <w:r>
              <w:rPr>
                <w:rFonts w:ascii="Times New Roman" w:hAnsi="Times New Roman"/>
                <w:sz w:val="20"/>
              </w:rPr>
              <w:t>Coherencia de KPIs con datos conocidos</w:t>
            </w:r>
          </w:p>
        </w:tc>
        <w:tc>
          <w:tcPr>
            <w:tcW w:type="dxa" w:w="3120"/>
          </w:tcPr>
          <w:p>
            <w:pPr>
              <w:spacing w:line="276" w:lineRule="auto"/>
            </w:pPr>
            <w:r/>
            <w:r>
              <w:rPr>
                <w:rFonts w:ascii="Times New Roman" w:hAnsi="Times New Roman"/>
                <w:sz w:val="20"/>
              </w:rPr>
              <w:t>Comparación manual con reportes Excel existentes</w:t>
            </w:r>
          </w:p>
        </w:tc>
        <w:tc>
          <w:tcPr>
            <w:tcW w:type="dxa" w:w="3120"/>
          </w:tcPr>
          <w:p>
            <w:pPr>
              <w:spacing w:line="276" w:lineRule="auto"/>
            </w:pPr>
            <w:r/>
            <w:r>
              <w:rPr>
                <w:rFonts w:ascii="Times New Roman" w:hAnsi="Times New Roman"/>
                <w:sz w:val="20"/>
              </w:rPr>
              <w:t>KPIs coinciden con reportes manuales ±2%</w:t>
            </w:r>
          </w:p>
        </w:tc>
      </w:tr>
      <w:tr>
        <w:tc>
          <w:tcPr>
            <w:tcW w:type="dxa" w:w="3120"/>
          </w:tcPr>
          <w:p>
            <w:pPr>
              <w:spacing w:line="276" w:lineRule="auto"/>
            </w:pPr>
            <w:r/>
            <w:r>
              <w:rPr>
                <w:rFonts w:ascii="Times New Roman" w:hAnsi="Times New Roman"/>
                <w:sz w:val="20"/>
              </w:rPr>
              <w:t>Intuitividad de la interfaz</w:t>
            </w:r>
          </w:p>
        </w:tc>
        <w:tc>
          <w:tcPr>
            <w:tcW w:type="dxa" w:w="3120"/>
          </w:tcPr>
          <w:p>
            <w:pPr>
              <w:spacing w:line="276" w:lineRule="auto"/>
            </w:pPr>
            <w:r/>
            <w:r>
              <w:rPr>
                <w:rFonts w:ascii="Times New Roman" w:hAnsi="Times New Roman"/>
                <w:sz w:val="20"/>
              </w:rPr>
              <w:t>Sesión de uso con Analista de Gestión ARL</w:t>
            </w:r>
          </w:p>
        </w:tc>
        <w:tc>
          <w:tcPr>
            <w:tcW w:type="dxa" w:w="3120"/>
          </w:tcPr>
          <w:p>
            <w:pPr>
              <w:spacing w:line="276" w:lineRule="auto"/>
            </w:pPr>
            <w:r/>
            <w:r>
              <w:rPr>
                <w:rFonts w:ascii="Times New Roman" w:hAnsi="Times New Roman"/>
                <w:sz w:val="20"/>
              </w:rPr>
              <w:t>Sin necesidad de capacitación; uso intuitivo</w:t>
            </w:r>
          </w:p>
        </w:tc>
      </w:tr>
      <w:tr>
        <w:tc>
          <w:tcPr>
            <w:tcW w:type="dxa" w:w="3120"/>
          </w:tcPr>
          <w:p>
            <w:pPr>
              <w:spacing w:line="276" w:lineRule="auto"/>
            </w:pPr>
            <w:r/>
            <w:r>
              <w:rPr>
                <w:rFonts w:ascii="Times New Roman" w:hAnsi="Times New Roman"/>
                <w:sz w:val="20"/>
              </w:rPr>
              <w:t>Utilidad de la proyección de ingresos</w:t>
            </w:r>
          </w:p>
        </w:tc>
        <w:tc>
          <w:tcPr>
            <w:tcW w:type="dxa" w:w="3120"/>
          </w:tcPr>
          <w:p>
            <w:pPr>
              <w:spacing w:line="276" w:lineRule="auto"/>
            </w:pPr>
            <w:r/>
            <w:r>
              <w:rPr>
                <w:rFonts w:ascii="Times New Roman" w:hAnsi="Times New Roman"/>
                <w:sz w:val="20"/>
              </w:rPr>
              <w:t>Revisión con Director Administrativo</w:t>
            </w:r>
          </w:p>
        </w:tc>
        <w:tc>
          <w:tcPr>
            <w:tcW w:type="dxa" w:w="3120"/>
          </w:tcPr>
          <w:p>
            <w:pPr>
              <w:spacing w:line="276" w:lineRule="auto"/>
            </w:pPr>
            <w:r/>
            <w:r>
              <w:rPr>
                <w:rFonts w:ascii="Times New Roman" w:hAnsi="Times New Roman"/>
                <w:sz w:val="20"/>
              </w:rPr>
              <w:t>"Útil para planificación trimestral"</w:t>
            </w:r>
          </w:p>
        </w:tc>
      </w:tr>
      <w:tr>
        <w:tc>
          <w:tcPr>
            <w:tcW w:type="dxa" w:w="3120"/>
          </w:tcPr>
          <w:p>
            <w:pPr>
              <w:spacing w:line="276" w:lineRule="auto"/>
            </w:pPr>
            <w:r/>
            <w:r>
              <w:rPr>
                <w:rFonts w:ascii="Times New Roman" w:hAnsi="Times New Roman"/>
                <w:sz w:val="20"/>
              </w:rPr>
              <w:t>Pertinencia del umbral de 30 días</w:t>
            </w:r>
          </w:p>
        </w:tc>
        <w:tc>
          <w:tcPr>
            <w:tcW w:type="dxa" w:w="3120"/>
          </w:tcPr>
          <w:p>
            <w:pPr>
              <w:spacing w:line="276" w:lineRule="auto"/>
            </w:pPr>
            <w:r/>
            <w:r>
              <w:rPr>
                <w:rFonts w:ascii="Times New Roman" w:hAnsi="Times New Roman"/>
                <w:sz w:val="20"/>
              </w:rPr>
              <w:t>Validación con plazos contractuales ARL</w:t>
            </w:r>
          </w:p>
        </w:tc>
        <w:tc>
          <w:tcPr>
            <w:tcW w:type="dxa" w:w="3120"/>
          </w:tcPr>
          <w:p>
            <w:pPr>
              <w:spacing w:line="276" w:lineRule="auto"/>
            </w:pPr>
            <w:r/>
            <w:r>
              <w:rPr>
                <w:rFonts w:ascii="Times New Roman" w:hAnsi="Times New Roman"/>
                <w:sz w:val="20"/>
              </w:rPr>
              <w:t>Confirmado como umbral de riesgo real</w:t>
            </w:r>
          </w:p>
        </w:tc>
      </w:tr>
    </w:tbl>
    <w:p/>
    <w:p>
      <w:pPr>
        <w:ind w:left="720"/>
      </w:pPr>
      <w:r>
        <w:rPr>
          <w:i/>
          <w:sz w:val="20"/>
        </w:rPr>
        <w:t xml:space="preserve">⁴ </w:t>
      </w:r>
      <w:r>
        <w:rPr>
          <w:b/>
          <w:i/>
          <w:sz w:val="20"/>
        </w:rPr>
        <w:t>Nota al pie (Word):</w:t>
      </w:r>
      <w:r>
        <w:rPr>
          <w:i/>
          <w:sz w:val="20"/>
        </w:rPr>
        <w:t xml:space="preserve"> La validación funcional se realizó en sesiones presenciales con el equipo de la IPS SYSO Empresarial durante las semanas 9 y 10 del cronograma (julio 2026). Los comentarios del personal administrativo permitieron ajustar etiquetas, umbrales de alerta y el orden de visualización de los KPIs.</w:t>
      </w:r>
    </w:p>
    <w:p>
      <w:pPr>
        <w:pStyle w:val="Heading3"/>
      </w:pPr>
      <w:r>
        <w:t>4.4.3 Pruebas Automatizadas</w:t>
      </w:r>
    </w:p>
    <w:p>
      <w:r>
        <w:t>El sistema incluye 23 pruebas unitarias automatizadas (pytest) que verifican:</w:t>
      </w:r>
    </w:p>
    <w:p>
      <w:pPr>
        <w:pStyle w:val="ListBullet"/>
      </w:pPr>
      <w:r>
        <w:t>Cálculo correcto de KPIs con datos conocidos</w:t>
      </w:r>
    </w:p>
    <w:p>
      <w:pPr>
        <w:pStyle w:val="ListBullet"/>
      </w:pPr>
      <w:r>
        <w:t>Comportamiento del filtrado por fecha, ARL, estado y tipo de servicio</w:t>
      </w:r>
    </w:p>
    <w:p>
      <w:pPr>
        <w:pStyle w:val="ListBullet"/>
      </w:pPr>
      <w:r>
        <w:t>Agrupaciones por mes, ARL y servicio</w:t>
      </w:r>
    </w:p>
    <w:p>
      <w:pPr>
        <w:pStyle w:val="ListBullet"/>
      </w:pPr>
      <w:r>
        <w:t>Regresión lineal con pendiente positiva, negativa y horizontal</w:t>
      </w:r>
    </w:p>
    <w:p>
      <w:pPr>
        <w:pStyle w:val="ListBullet"/>
      </w:pPr>
      <w:r>
        <w:t>Comportamiento con conjuntos vacíos y valores extremos</w:t>
      </w:r>
    </w:p>
    <w:p>
      <w:pPr>
        <w:pStyle w:val="ListBullet"/>
      </w:pPr>
      <w:r>
        <w:t>Propiedades del modelo (hypothesis): invariantes sobre datos aleatorios</w:t>
      </w:r>
    </w:p>
    <w:p>
      <w:pPr>
        <w:pStyle w:val="Heading2"/>
      </w:pPr>
      <w:r>
        <w:t>4.5 Interpretación y Aplicabilidad de Resultados</w:t>
      </w:r>
    </w:p>
    <w:p>
      <w:pPr>
        <w:pStyle w:val="Heading3"/>
      </w:pPr>
      <w:r>
        <w:t>4.5.1 Insights Clave</w:t>
      </w:r>
    </w:p>
    <w:p>
      <w:r>
        <w:t>El análisis de las 45.000 órdenes de servicio reveló los siguientes hallazgos principales:</w:t>
      </w:r>
    </w:p>
    <w:p>
      <w:r/>
      <w:r>
        <w:rPr>
          <w:b/>
        </w:rPr>
        <w:t>1. El cuello de botella está en la facturación, no en la ejecución.</w:t>
      </w:r>
      <w:r/>
    </w:p>
    <w:p>
      <w:r>
        <w:t>El 30% de las órdenes se encuentran en estado "Ejecutada" y el 12% en "Soportes Radicados", lo que significa que el 42% de las órdenes completadas operativamente aún no generan ingreso efectivo. Esto confirma la hipótesis del Capítulo 1: el problema no es operativo sino administrativo-financiero.</w:t>
      </w:r>
    </w:p>
    <w:p>
      <w:r/>
      <w:r>
        <w:rPr>
          <w:b/>
        </w:rPr>
        <w:t>2. El tiempo promedio de facturación (22.7 días) está dentro del rango aceptable, pero con varianza alta.</w:t>
      </w:r>
      <w:r/>
    </w:p>
    <w:p>
      <w:r>
        <w:t>Si bien el promedio global no supera el umbral de 30 días, el máximo registrado alcanza 45 días, lo que indica que existen órdenes individuales con riesgo real de glosas por vencimiento de plazos contractuales.</w:t>
      </w:r>
    </w:p>
    <w:p>
      <w:r/>
      <w:r>
        <w:rPr>
          <w:b/>
        </w:rPr>
        <w:t>3. La concentración por ARL genera riesgo financiero.</w:t>
      </w:r>
      <w:r/>
    </w:p>
    <w:p>
      <w:r>
        <w:t>Sura ARL y Colmena Seguros representan conjuntamente el 70% de las órdenes. Una demora en la facturación o un cambio contractual con cualquiera de estas dos administradoras tendría un impacto desproporcionado en el flujo de caja de la IPS.</w:t>
      </w:r>
    </w:p>
    <w:p>
      <w:r/>
      <w:r>
        <w:rPr>
          <w:b/>
        </w:rPr>
        <w:t>4. La estacionalidad impacta directamente la carga operativa.</w:t>
      </w:r>
      <w:r/>
    </w:p>
    <w:p>
      <w:r>
        <w:t>Enero-febrero concentra la mayor demanda (renovación de contratos anuales), mientras que julio y diciembre son meses de mínima actividad. Esta información permite planificar la capacidad operativa y las metas de facturación por trimestre.</w:t>
      </w:r>
    </w:p>
    <w:p>
      <w:pPr>
        <w:pStyle w:val="Heading3"/>
      </w:pPr>
      <w:r>
        <w:t>4.5.2 Relación con los Objetivos del Proyecto</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
              <w:rPr>
                <w:rFonts w:ascii="Times New Roman" w:hAnsi="Times New Roman"/>
                <w:b/>
                <w:sz w:val="20"/>
              </w:rPr>
              <w:t>Objetivo específico</w:t>
            </w:r>
          </w:p>
        </w:tc>
        <w:tc>
          <w:tcPr>
            <w:tcW w:type="dxa" w:w="4680"/>
          </w:tcPr>
          <w:p>
            <w:pPr>
              <w:spacing w:line="276" w:lineRule="auto"/>
            </w:pPr>
            <w:r/>
            <w:r>
              <w:rPr>
                <w:rFonts w:ascii="Times New Roman" w:hAnsi="Times New Roman"/>
                <w:b/>
                <w:sz w:val="20"/>
              </w:rPr>
              <w:t>Hallazgo que lo valida</w:t>
            </w:r>
          </w:p>
        </w:tc>
      </w:tr>
      <w:tr>
        <w:tc>
          <w:tcPr>
            <w:tcW w:type="dxa" w:w="4680"/>
          </w:tcPr>
          <w:p>
            <w:pPr>
              <w:spacing w:line="276" w:lineRule="auto"/>
            </w:pPr>
            <w:r/>
            <w:r>
              <w:rPr>
                <w:rFonts w:ascii="Times New Roman" w:hAnsi="Times New Roman"/>
                <w:sz w:val="20"/>
              </w:rPr>
              <w:t>Identificar fuentes y variables clave</w:t>
            </w:r>
          </w:p>
        </w:tc>
        <w:tc>
          <w:tcPr>
            <w:tcW w:type="dxa" w:w="4680"/>
          </w:tcPr>
          <w:p>
            <w:pPr>
              <w:spacing w:line="276" w:lineRule="auto"/>
            </w:pPr>
            <w:r/>
            <w:r>
              <w:rPr>
                <w:rFonts w:ascii="Times New Roman" w:hAnsi="Times New Roman"/>
                <w:sz w:val="20"/>
              </w:rPr>
              <w:t>Se consolidaron 13 variables desde 4 fuentes; la Matriz ARL es la fuente central</w:t>
            </w:r>
          </w:p>
        </w:tc>
      </w:tr>
      <w:tr>
        <w:tc>
          <w:tcPr>
            <w:tcW w:type="dxa" w:w="4680"/>
          </w:tcPr>
          <w:p>
            <w:pPr>
              <w:spacing w:line="276" w:lineRule="auto"/>
            </w:pPr>
            <w:r/>
            <w:r>
              <w:rPr>
                <w:rFonts w:ascii="Times New Roman" w:hAnsi="Times New Roman"/>
                <w:sz w:val="20"/>
              </w:rPr>
              <w:t>Diseñar modelo unificado de datos</w:t>
            </w:r>
          </w:p>
        </w:tc>
        <w:tc>
          <w:tcPr>
            <w:tcW w:type="dxa" w:w="4680"/>
          </w:tcPr>
          <w:p>
            <w:pPr>
              <w:spacing w:line="276" w:lineRule="auto"/>
            </w:pPr>
            <w:r/>
            <w:r>
              <w:rPr>
                <w:rFonts w:ascii="Times New Roman" w:hAnsi="Times New Roman"/>
                <w:sz w:val="20"/>
              </w:rPr>
              <w:t>Modelo `Orden` con 13 campos + 3 propiedades calculadas de tiempo</w:t>
            </w:r>
          </w:p>
        </w:tc>
      </w:tr>
      <w:tr>
        <w:tc>
          <w:tcPr>
            <w:tcW w:type="dxa" w:w="4680"/>
          </w:tcPr>
          <w:p>
            <w:pPr>
              <w:spacing w:line="276" w:lineRule="auto"/>
            </w:pPr>
            <w:r/>
            <w:r>
              <w:rPr>
                <w:rFonts w:ascii="Times New Roman" w:hAnsi="Times New Roman"/>
                <w:sz w:val="20"/>
              </w:rPr>
              <w:t>Diseñar flujo ETL</w:t>
            </w:r>
          </w:p>
        </w:tc>
        <w:tc>
          <w:tcPr>
            <w:tcW w:type="dxa" w:w="4680"/>
          </w:tcPr>
          <w:p>
            <w:pPr>
              <w:spacing w:line="276" w:lineRule="auto"/>
            </w:pPr>
            <w:r/>
            <w:r>
              <w:rPr>
                <w:rFonts w:ascii="Times New Roman" w:hAnsi="Times New Roman"/>
                <w:sz w:val="20"/>
              </w:rPr>
              <w:t>Pipeline Excel → validación → repositorio funcional y documentado</w:t>
            </w:r>
          </w:p>
        </w:tc>
      </w:tr>
      <w:tr>
        <w:tc>
          <w:tcPr>
            <w:tcW w:type="dxa" w:w="4680"/>
          </w:tcPr>
          <w:p>
            <w:pPr>
              <w:spacing w:line="276" w:lineRule="auto"/>
            </w:pPr>
            <w:r/>
            <w:r>
              <w:rPr>
                <w:rFonts w:ascii="Times New Roman" w:hAnsi="Times New Roman"/>
                <w:sz w:val="20"/>
              </w:rPr>
              <w:t>Definir KPIs</w:t>
            </w:r>
          </w:p>
        </w:tc>
        <w:tc>
          <w:tcPr>
            <w:tcW w:type="dxa" w:w="4680"/>
          </w:tcPr>
          <w:p>
            <w:pPr>
              <w:spacing w:line="276" w:lineRule="auto"/>
            </w:pPr>
            <w:r/>
            <w:r>
              <w:rPr>
                <w:rFonts w:ascii="Times New Roman" w:hAnsi="Times New Roman"/>
                <w:sz w:val="20"/>
              </w:rPr>
              <w:t>6 KPIs implementados y validados con personal de la IPS</w:t>
            </w:r>
          </w:p>
        </w:tc>
      </w:tr>
      <w:tr>
        <w:tc>
          <w:tcPr>
            <w:tcW w:type="dxa" w:w="4680"/>
          </w:tcPr>
          <w:p>
            <w:pPr>
              <w:spacing w:line="276" w:lineRule="auto"/>
            </w:pPr>
            <w:r/>
            <w:r>
              <w:rPr>
                <w:rFonts w:ascii="Times New Roman" w:hAnsi="Times New Roman"/>
                <w:sz w:val="20"/>
              </w:rPr>
              <w:t>Proponer diseño del tablero</w:t>
            </w:r>
          </w:p>
        </w:tc>
        <w:tc>
          <w:tcPr>
            <w:tcW w:type="dxa" w:w="4680"/>
          </w:tcPr>
          <w:p>
            <w:pPr>
              <w:spacing w:line="276" w:lineRule="auto"/>
            </w:pPr>
            <w:r/>
            <w:r>
              <w:rPr>
                <w:rFonts w:ascii="Times New Roman" w:hAnsi="Times New Roman"/>
                <w:sz w:val="20"/>
              </w:rPr>
              <w:t>Tablero en producción con 3 módulos: Dashboard BI, Resumen, Gestión</w:t>
            </w:r>
          </w:p>
        </w:tc>
      </w:tr>
    </w:tbl>
    <w:p/>
    <w:p>
      <w:pPr>
        <w:pStyle w:val="Heading3"/>
      </w:pPr>
      <w:r>
        <w:t>4.5.3 Recomendaciones Accionables</w:t>
      </w:r>
    </w:p>
    <w:p>
      <w:r>
        <w:t>Con base en los hallazgos, se proponen las siguientes acciones:</w:t>
      </w:r>
    </w:p>
    <w:p>
      <w:pPr>
        <w:pStyle w:val="ListNumber"/>
      </w:pPr>
      <w:r/>
      <w:r>
        <w:rPr>
          <w:b/>
        </w:rPr>
        <w:t>Priorizar la facturación de órdenes ejecutadas:</w:t>
      </w:r>
      <w:r>
        <w:t xml:space="preserve"> Las 18.912 órdenes sin facturar representan ~$926M COP en cartera pendiente. Se recomienda establecer un proceso semanal de revisión de órdenes en estado "Ejecutada" y "Soportes Radicados".</w:t>
      </w:r>
    </w:p>
    <w:p>
      <w:pPr>
        <w:pStyle w:val="ListNumber"/>
      </w:pPr>
      <w:r/>
      <w:r>
        <w:rPr>
          <w:b/>
        </w:rPr>
        <w:t>Establecer alertas por ARL cuando los días de facturación superan 25 días</w:t>
      </w:r>
      <w:r>
        <w:t>, como acción preventiva antes de alcanzar el umbral de riesgo de 30 días.</w:t>
      </w:r>
    </w:p>
    <w:p>
      <w:pPr>
        <w:pStyle w:val="ListNumber"/>
      </w:pPr>
      <w:r/>
      <w:r>
        <w:rPr>
          <w:b/>
        </w:rPr>
        <w:t>Diversificar la base de ARLs</w:t>
      </w:r>
      <w:r>
        <w:t xml:space="preserve"> para reducir la concentración actual del 70% en dos administradoras.</w:t>
      </w:r>
    </w:p>
    <w:p>
      <w:pPr>
        <w:pStyle w:val="ListNumber"/>
      </w:pPr>
      <w:r/>
      <w:r>
        <w:rPr>
          <w:b/>
        </w:rPr>
        <w:t>Registrar sistemáticamente las fechas de ejecución y facturación</w:t>
      </w:r>
      <w:r>
        <w:t xml:space="preserve"> para aumentar la cobertura del KPI de tiempos (actualmente calculable solo sobre registros con ambas fechas).</w:t>
      </w:r>
    </w:p>
    <w:p>
      <w:pPr>
        <w:pStyle w:val="Heading3"/>
      </w:pPr>
      <w:r>
        <w:t>4.5.4 Consideraciones Éticas</w:t>
      </w:r>
    </w:p>
    <w:p>
      <w:r>
        <w:t>El tablero presenta indicadores informativos, no genera decisiones automatizadas vinculantes. Los KPIs por ARL y por responsable deben interpretarse en contexto y no utilizarse como herramienta punitiva sino como instrumento de mejora continua. No se identificaron sesgos algorítmicos en el modelo de regresión lineal, dado que se aplica de forma homogénea a todas las ARLs con la misma fórmula y los mismos parámetros.</w:t>
      </w:r>
    </w:p>
    <w:p>
      <w:pPr>
        <w:pStyle w:val="Heading2"/>
      </w:pPr>
      <w:r>
        <w:t>4.6 Visualización y Presentación de Resultados</w:t>
      </w:r>
    </w:p>
    <w:p>
      <w:pPr>
        <w:pStyle w:val="Heading3"/>
      </w:pPr>
      <w:r>
        <w:t>4.6.1 Dashboard Final — Arquitectura de Presentación</w:t>
      </w:r>
    </w:p>
    <w:p>
      <w:r>
        <w:t>El tablero de inteligencia de negocios se implementó como una aplicación web accesible en:</w:t>
      </w:r>
    </w:p>
    <w:p>
      <w:r/>
      <w:r>
        <w:rPr>
          <w:b/>
        </w:rPr>
        <w:t>URL:</w:t>
      </w:r>
      <w:r>
        <w:t xml:space="preserve"> https://syso-bi-dashboard.onrender.com</w:t>
      </w:r>
    </w:p>
    <w:p>
      <w:r/>
      <w:r>
        <w:rPr>
          <w:b/>
        </w:rPr>
        <w:t>Módulos del tablero:</w:t>
      </w:r>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b/>
                <w:sz w:val="20"/>
              </w:rPr>
              <w:t>Módulo</w:t>
            </w:r>
          </w:p>
        </w:tc>
        <w:tc>
          <w:tcPr>
            <w:tcW w:type="dxa" w:w="3120"/>
          </w:tcPr>
          <w:p>
            <w:pPr>
              <w:spacing w:line="276" w:lineRule="auto"/>
            </w:pPr>
            <w:r/>
            <w:r>
              <w:rPr>
                <w:rFonts w:ascii="Times New Roman" w:hAnsi="Times New Roman"/>
                <w:b/>
                <w:sz w:val="20"/>
              </w:rPr>
              <w:t>Función</w:t>
            </w:r>
          </w:p>
        </w:tc>
        <w:tc>
          <w:tcPr>
            <w:tcW w:type="dxa" w:w="3120"/>
          </w:tcPr>
          <w:p>
            <w:pPr>
              <w:spacing w:line="276" w:lineRule="auto"/>
            </w:pPr>
            <w:r/>
            <w:r>
              <w:rPr>
                <w:rFonts w:ascii="Times New Roman" w:hAnsi="Times New Roman"/>
                <w:b/>
                <w:sz w:val="20"/>
              </w:rPr>
              <w:t>Audiencia</w:t>
            </w:r>
          </w:p>
        </w:tc>
      </w:tr>
      <w:tr>
        <w:tc>
          <w:tcPr>
            <w:tcW w:type="dxa" w:w="3120"/>
          </w:tcPr>
          <w:p>
            <w:pPr>
              <w:spacing w:line="276" w:lineRule="auto"/>
            </w:pPr>
            <w:r/>
            <w:r>
              <w:rPr>
                <w:rFonts w:ascii="Times New Roman" w:hAnsi="Times New Roman"/>
                <w:sz w:val="20"/>
              </w:rPr>
              <w:t>**Dashboard BI**</w:t>
            </w:r>
          </w:p>
        </w:tc>
        <w:tc>
          <w:tcPr>
            <w:tcW w:type="dxa" w:w="3120"/>
          </w:tcPr>
          <w:p>
            <w:pPr>
              <w:spacing w:line="276" w:lineRule="auto"/>
            </w:pPr>
            <w:r/>
            <w:r>
              <w:rPr>
                <w:rFonts w:ascii="Times New Roman" w:hAnsi="Times New Roman"/>
                <w:sz w:val="20"/>
              </w:rPr>
              <w:t>6 KPIs + 4 gráficos + filtros + modales de detalle + proyección</w:t>
            </w:r>
          </w:p>
        </w:tc>
        <w:tc>
          <w:tcPr>
            <w:tcW w:type="dxa" w:w="3120"/>
          </w:tcPr>
          <w:p>
            <w:pPr>
              <w:spacing w:line="276" w:lineRule="auto"/>
            </w:pPr>
            <w:r/>
            <w:r>
              <w:rPr>
                <w:rFonts w:ascii="Times New Roman" w:hAnsi="Times New Roman"/>
                <w:sz w:val="20"/>
              </w:rPr>
              <w:t>Director Administrativo, Analista ARL</w:t>
            </w:r>
          </w:p>
        </w:tc>
      </w:tr>
      <w:tr>
        <w:tc>
          <w:tcPr>
            <w:tcW w:type="dxa" w:w="3120"/>
          </w:tcPr>
          <w:p>
            <w:pPr>
              <w:spacing w:line="276" w:lineRule="auto"/>
            </w:pPr>
            <w:r/>
            <w:r>
              <w:rPr>
                <w:rFonts w:ascii="Times New Roman" w:hAnsi="Times New Roman"/>
                <w:sz w:val="20"/>
              </w:rPr>
              <w:t>**Resumen Ejecutivo**</w:t>
            </w:r>
          </w:p>
        </w:tc>
        <w:tc>
          <w:tcPr>
            <w:tcW w:type="dxa" w:w="3120"/>
          </w:tcPr>
          <w:p>
            <w:pPr>
              <w:spacing w:line="276" w:lineRule="auto"/>
            </w:pPr>
            <w:r/>
            <w:r>
              <w:rPr>
                <w:rFonts w:ascii="Times New Roman" w:hAnsi="Times New Roman"/>
                <w:sz w:val="20"/>
              </w:rPr>
              <w:t>Framework SCR + KPIs + tablas por ARL + mensaje central</w:t>
            </w:r>
          </w:p>
        </w:tc>
        <w:tc>
          <w:tcPr>
            <w:tcW w:type="dxa" w:w="3120"/>
          </w:tcPr>
          <w:p>
            <w:pPr>
              <w:spacing w:line="276" w:lineRule="auto"/>
            </w:pPr>
            <w:r/>
            <w:r>
              <w:rPr>
                <w:rFonts w:ascii="Times New Roman" w:hAnsi="Times New Roman"/>
                <w:sz w:val="20"/>
              </w:rPr>
              <w:t>Gerencia general</w:t>
            </w:r>
          </w:p>
        </w:tc>
      </w:tr>
      <w:tr>
        <w:tc>
          <w:tcPr>
            <w:tcW w:type="dxa" w:w="3120"/>
          </w:tcPr>
          <w:p>
            <w:pPr>
              <w:spacing w:line="276" w:lineRule="auto"/>
            </w:pPr>
            <w:r/>
            <w:r>
              <w:rPr>
                <w:rFonts w:ascii="Times New Roman" w:hAnsi="Times New Roman"/>
                <w:sz w:val="20"/>
              </w:rPr>
              <w:t>**Panel de Gestión**</w:t>
            </w:r>
          </w:p>
        </w:tc>
        <w:tc>
          <w:tcPr>
            <w:tcW w:type="dxa" w:w="3120"/>
          </w:tcPr>
          <w:p>
            <w:pPr>
              <w:spacing w:line="276" w:lineRule="auto"/>
            </w:pPr>
            <w:r/>
            <w:r>
              <w:rPr>
                <w:rFonts w:ascii="Times New Roman" w:hAnsi="Times New Roman"/>
                <w:sz w:val="20"/>
              </w:rPr>
              <w:t>Carga de datos Excel + formulario de registro</w:t>
            </w:r>
          </w:p>
        </w:tc>
        <w:tc>
          <w:tcPr>
            <w:tcW w:type="dxa" w:w="3120"/>
          </w:tcPr>
          <w:p>
            <w:pPr>
              <w:spacing w:line="276" w:lineRule="auto"/>
            </w:pPr>
            <w:r/>
            <w:r>
              <w:rPr>
                <w:rFonts w:ascii="Times New Roman" w:hAnsi="Times New Roman"/>
                <w:sz w:val="20"/>
              </w:rPr>
              <w:t>Analista operativo</w:t>
            </w:r>
          </w:p>
        </w:tc>
      </w:tr>
    </w:tbl>
    <w:p/>
    <w:p>
      <w:pPr>
        <w:pStyle w:val="Heading3"/>
      </w:pPr>
      <w:r>
        <w:t>4.6.2 Componentes de Visualización</w:t>
      </w:r>
    </w:p>
    <w:p>
      <w:r/>
      <w:r>
        <w:rPr>
          <w:b/>
        </w:rPr>
        <w:t>Tarjetas KPI interactivas (6):</w:t>
      </w:r>
      <w:r/>
    </w:p>
    <w:p>
      <w:pPr>
        <w:pStyle w:val="ListBullet"/>
      </w:pPr>
      <w:r>
        <w:t>Total Órdenes (con tendencia mensual ↑↓)</w:t>
      </w:r>
    </w:p>
    <w:p>
      <w:pPr>
        <w:pStyle w:val="ListBullet"/>
      </w:pPr>
      <w:r>
        <w:t>Ingresos Totales (con tendencia mensual)</w:t>
      </w:r>
    </w:p>
    <w:p>
      <w:pPr>
        <w:pStyle w:val="ListBullet"/>
      </w:pPr>
      <w:r>
        <w:t>Tasa de Cumplimiento (con semáforo)</w:t>
      </w:r>
    </w:p>
    <w:p>
      <w:pPr>
        <w:pStyle w:val="ListBullet"/>
      </w:pPr>
      <w:r>
        <w:t>Órdenes en Gestión (con sublabel de valor monetario)</w:t>
      </w:r>
    </w:p>
    <w:p>
      <w:pPr>
        <w:pStyle w:val="ListBullet"/>
      </w:pPr>
      <w:r>
        <w:t>Cartera Sin Facturar (rojo, con conteo)</w:t>
      </w:r>
    </w:p>
    <w:p>
      <w:pPr>
        <w:pStyle w:val="ListBullet"/>
      </w:pPr>
      <w:r>
        <w:t>Días Promedio Facturación (con alerta &gt;30 días)</w:t>
      </w:r>
    </w:p>
    <w:p>
      <w:r/>
      <w:r>
        <w:rPr>
          <w:b/>
        </w:rPr>
        <w:t>Gráficos interactivos (4 + 2 en modales):</w:t>
      </w:r>
      <w:r/>
    </w:p>
    <w:p>
      <w:pPr>
        <w:pStyle w:val="ListBullet"/>
      </w:pPr>
      <w:r>
        <w:t>Barras apiladas: distribución por ARL y estado</w:t>
      </w:r>
    </w:p>
    <w:p>
      <w:pPr>
        <w:pStyle w:val="ListBullet"/>
      </w:pPr>
      <w:r>
        <w:t>Línea temporal: evolución mensual con filtro por año</w:t>
      </w:r>
    </w:p>
    <w:p>
      <w:pPr>
        <w:pStyle w:val="ListBullet"/>
      </w:pPr>
      <w:r>
        <w:t>Doughnut: composición por tipo de servicio</w:t>
      </w:r>
    </w:p>
    <w:p>
      <w:pPr>
        <w:pStyle w:val="ListBullet"/>
      </w:pPr>
      <w:r>
        <w:t>Barras horizontales: ingresos por ARL con %</w:t>
      </w:r>
    </w:p>
    <w:p>
      <w:pPr>
        <w:pStyle w:val="ListBullet"/>
      </w:pPr>
      <w:r>
        <w:t>Proyección +6 meses (modal): regresión lineal por ARL</w:t>
      </w:r>
    </w:p>
    <w:p>
      <w:pPr>
        <w:pStyle w:val="ListBullet"/>
      </w:pPr>
      <w:r>
        <w:t>Embudo de flujo (modal): estados del proceso con análisis</w:t>
      </w:r>
    </w:p>
    <w:p>
      <w:r/>
      <w:r>
        <w:rPr>
          <w:b/>
        </w:rPr>
        <w:t>Filtros en cascada:</w:t>
      </w:r>
      <w:r/>
    </w:p>
    <w:p>
      <w:r>
        <w:t>ARL → Tipo de Servicio → Programa → Tarea + Estado + Rango de fechas</w:t>
      </w:r>
    </w:p>
    <w:p>
      <w:r/>
      <w:r>
        <w:rPr>
          <w:b/>
        </w:rPr>
        <w:t>Accesibilidad (WCAG 2.1):</w:t>
      </w:r>
      <w:r/>
    </w:p>
    <w:p>
      <w:pPr>
        <w:pStyle w:val="ListBullet"/>
      </w:pPr>
      <w:r>
        <w:t>Paleta Okabe-Ito (colorblind-safe)</w:t>
      </w:r>
    </w:p>
    <w:p>
      <w:pPr>
        <w:pStyle w:val="ListBullet"/>
      </w:pPr>
      <w:r>
        <w:t>Patrones de textura en gráficos</w:t>
      </w:r>
    </w:p>
    <w:p>
      <w:pPr>
        <w:pStyle w:val="ListBullet"/>
      </w:pPr>
      <w:r>
        <w:t>Skip link, aria-modal, focus trap</w:t>
      </w:r>
    </w:p>
    <w:p>
      <w:pPr>
        <w:pStyle w:val="Heading3"/>
      </w:pPr>
      <w:r>
        <w:t>4.6.3 Resumen Ejecutivo para la Gerencia</w:t>
      </w:r>
    </w:p>
    <w:p>
      <w:r>
        <w:t>La pestaña "Resumen" presenta la información en formato narrativo usando el framework SCR (Situación → Complicación → Pregunta → Resolución), diseñado específicamente para audiencias ejecutivas que requieren síntesis sin tecnicismos.</w:t>
      </w:r>
    </w:p>
    <w:p>
      <w:pPr>
        <w:pStyle w:val="Heading2"/>
      </w:pPr>
      <w:r>
        <w:t>4.7 Valor Generado por el Proyecto</w:t>
      </w:r>
    </w:p>
    <w:p>
      <w:pPr>
        <w:pStyle w:val="Heading3"/>
      </w:pPr>
      <w:r>
        <w:t>4.7.1 Impacto Operativo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pPr>
            <w:r/>
            <w:r>
              <w:rPr>
                <w:rFonts w:ascii="Times New Roman" w:hAnsi="Times New Roman"/>
                <w:b/>
                <w:sz w:val="20"/>
              </w:rPr>
              <w:t>Indicador de impacto</w:t>
            </w:r>
          </w:p>
        </w:tc>
        <w:tc>
          <w:tcPr>
            <w:tcW w:type="dxa" w:w="2340"/>
          </w:tcPr>
          <w:p>
            <w:pPr>
              <w:spacing w:line="276" w:lineRule="auto"/>
            </w:pPr>
            <w:r/>
            <w:r>
              <w:rPr>
                <w:rFonts w:ascii="Times New Roman" w:hAnsi="Times New Roman"/>
                <w:b/>
                <w:sz w:val="20"/>
              </w:rPr>
              <w:t>Antes del proyecto</w:t>
            </w:r>
          </w:p>
        </w:tc>
        <w:tc>
          <w:tcPr>
            <w:tcW w:type="dxa" w:w="2340"/>
          </w:tcPr>
          <w:p>
            <w:pPr>
              <w:spacing w:line="276" w:lineRule="auto"/>
            </w:pPr>
            <w:r/>
            <w:r>
              <w:rPr>
                <w:rFonts w:ascii="Times New Roman" w:hAnsi="Times New Roman"/>
                <w:b/>
                <w:sz w:val="20"/>
              </w:rPr>
              <w:t>Con el tablero BI</w:t>
            </w:r>
          </w:p>
        </w:tc>
        <w:tc>
          <w:tcPr>
            <w:tcW w:type="dxa" w:w="2340"/>
          </w:tcPr>
          <w:p>
            <w:pPr>
              <w:spacing w:line="276" w:lineRule="auto"/>
            </w:pPr>
            <w:r/>
            <w:r>
              <w:rPr>
                <w:rFonts w:ascii="Times New Roman" w:hAnsi="Times New Roman"/>
                <w:b/>
                <w:sz w:val="20"/>
              </w:rPr>
              <w:t>Mejora</w:t>
            </w:r>
          </w:p>
        </w:tc>
      </w:tr>
      <w:tr>
        <w:tc>
          <w:tcPr>
            <w:tcW w:type="dxa" w:w="2340"/>
          </w:tcPr>
          <w:p>
            <w:pPr>
              <w:spacing w:line="276" w:lineRule="auto"/>
            </w:pPr>
            <w:r/>
            <w:r>
              <w:rPr>
                <w:rFonts w:ascii="Times New Roman" w:hAnsi="Times New Roman"/>
                <w:sz w:val="20"/>
              </w:rPr>
              <w:t>Tiempo para generar reportes de gestión ARL</w:t>
            </w:r>
          </w:p>
        </w:tc>
        <w:tc>
          <w:tcPr>
            <w:tcW w:type="dxa" w:w="2340"/>
          </w:tcPr>
          <w:p>
            <w:pPr>
              <w:spacing w:line="276" w:lineRule="auto"/>
            </w:pPr>
            <w:r/>
            <w:r>
              <w:rPr>
                <w:rFonts w:ascii="Times New Roman" w:hAnsi="Times New Roman"/>
                <w:sz w:val="20"/>
              </w:rPr>
              <w:t>3–4 horas (Excel manual)</w:t>
            </w:r>
          </w:p>
        </w:tc>
        <w:tc>
          <w:tcPr>
            <w:tcW w:type="dxa" w:w="2340"/>
          </w:tcPr>
          <w:p>
            <w:pPr>
              <w:spacing w:line="276" w:lineRule="auto"/>
            </w:pPr>
            <w:r/>
            <w:r>
              <w:rPr>
                <w:rFonts w:ascii="Times New Roman" w:hAnsi="Times New Roman"/>
                <w:sz w:val="20"/>
              </w:rPr>
              <w:t>Instantáneo (tiempo real)</w:t>
            </w:r>
          </w:p>
        </w:tc>
        <w:tc>
          <w:tcPr>
            <w:tcW w:type="dxa" w:w="2340"/>
          </w:tcPr>
          <w:p>
            <w:pPr>
              <w:spacing w:line="276" w:lineRule="auto"/>
            </w:pPr>
            <w:r/>
            <w:r>
              <w:rPr>
                <w:rFonts w:ascii="Times New Roman" w:hAnsi="Times New Roman"/>
                <w:sz w:val="20"/>
              </w:rPr>
              <w:t>-99%</w:t>
            </w:r>
          </w:p>
        </w:tc>
      </w:tr>
      <w:tr>
        <w:tc>
          <w:tcPr>
            <w:tcW w:type="dxa" w:w="2340"/>
          </w:tcPr>
          <w:p>
            <w:pPr>
              <w:spacing w:line="276" w:lineRule="auto"/>
            </w:pPr>
            <w:r/>
            <w:r>
              <w:rPr>
                <w:rFonts w:ascii="Times New Roman" w:hAnsi="Times New Roman"/>
                <w:sz w:val="20"/>
              </w:rPr>
              <w:t>Identificación de órdenes sin facturar</w:t>
            </w:r>
          </w:p>
        </w:tc>
        <w:tc>
          <w:tcPr>
            <w:tcW w:type="dxa" w:w="2340"/>
          </w:tcPr>
          <w:p>
            <w:pPr>
              <w:spacing w:line="276" w:lineRule="auto"/>
            </w:pPr>
            <w:r/>
            <w:r>
              <w:rPr>
                <w:rFonts w:ascii="Times New Roman" w:hAnsi="Times New Roman"/>
                <w:sz w:val="20"/>
              </w:rPr>
              <w:t>Revisión manual semanal</w:t>
            </w:r>
          </w:p>
        </w:tc>
        <w:tc>
          <w:tcPr>
            <w:tcW w:type="dxa" w:w="2340"/>
          </w:tcPr>
          <w:p>
            <w:pPr>
              <w:spacing w:line="276" w:lineRule="auto"/>
            </w:pPr>
            <w:r/>
            <w:r>
              <w:rPr>
                <w:rFonts w:ascii="Times New Roman" w:hAnsi="Times New Roman"/>
                <w:sz w:val="20"/>
              </w:rPr>
              <w:t>Automática con alerta visual</w:t>
            </w:r>
          </w:p>
        </w:tc>
        <w:tc>
          <w:tcPr>
            <w:tcW w:type="dxa" w:w="2340"/>
          </w:tcPr>
          <w:p>
            <w:pPr>
              <w:spacing w:line="276" w:lineRule="auto"/>
            </w:pPr>
            <w:r/>
            <w:r>
              <w:rPr>
                <w:rFonts w:ascii="Times New Roman" w:hAnsi="Times New Roman"/>
                <w:sz w:val="20"/>
              </w:rPr>
              <w:t>Inmediata</w:t>
            </w:r>
          </w:p>
        </w:tc>
      </w:tr>
      <w:tr>
        <w:tc>
          <w:tcPr>
            <w:tcW w:type="dxa" w:w="2340"/>
          </w:tcPr>
          <w:p>
            <w:pPr>
              <w:spacing w:line="276" w:lineRule="auto"/>
            </w:pPr>
            <w:r/>
            <w:r>
              <w:rPr>
                <w:rFonts w:ascii="Times New Roman" w:hAnsi="Times New Roman"/>
                <w:sz w:val="20"/>
              </w:rPr>
              <w:t>Visibilidad del estado de cartera</w:t>
            </w:r>
          </w:p>
        </w:tc>
        <w:tc>
          <w:tcPr>
            <w:tcW w:type="dxa" w:w="2340"/>
          </w:tcPr>
          <w:p>
            <w:pPr>
              <w:spacing w:line="276" w:lineRule="auto"/>
            </w:pPr>
            <w:r/>
            <w:r>
              <w:rPr>
                <w:rFonts w:ascii="Times New Roman" w:hAnsi="Times New Roman"/>
                <w:sz w:val="20"/>
              </w:rPr>
              <w:t>Solo al cierre de mes</w:t>
            </w:r>
          </w:p>
        </w:tc>
        <w:tc>
          <w:tcPr>
            <w:tcW w:type="dxa" w:w="2340"/>
          </w:tcPr>
          <w:p>
            <w:pPr>
              <w:spacing w:line="276" w:lineRule="auto"/>
            </w:pPr>
            <w:r/>
            <w:r>
              <w:rPr>
                <w:rFonts w:ascii="Times New Roman" w:hAnsi="Times New Roman"/>
                <w:sz w:val="20"/>
              </w:rPr>
              <w:t>En tiempo real con semáforo</w:t>
            </w:r>
          </w:p>
        </w:tc>
        <w:tc>
          <w:tcPr>
            <w:tcW w:type="dxa" w:w="2340"/>
          </w:tcPr>
          <w:p>
            <w:pPr>
              <w:spacing w:line="276" w:lineRule="auto"/>
            </w:pPr>
            <w:r/>
            <w:r>
              <w:rPr>
                <w:rFonts w:ascii="Times New Roman" w:hAnsi="Times New Roman"/>
                <w:sz w:val="20"/>
              </w:rPr>
              <w:t>Continua</w:t>
            </w:r>
          </w:p>
        </w:tc>
      </w:tr>
      <w:tr>
        <w:tc>
          <w:tcPr>
            <w:tcW w:type="dxa" w:w="2340"/>
          </w:tcPr>
          <w:p>
            <w:pPr>
              <w:spacing w:line="276" w:lineRule="auto"/>
            </w:pPr>
            <w:r/>
            <w:r>
              <w:rPr>
                <w:rFonts w:ascii="Times New Roman" w:hAnsi="Times New Roman"/>
                <w:sz w:val="20"/>
              </w:rPr>
              <w:t>Generación de proyecciones de ingresos</w:t>
            </w:r>
          </w:p>
        </w:tc>
        <w:tc>
          <w:tcPr>
            <w:tcW w:type="dxa" w:w="2340"/>
          </w:tcPr>
          <w:p>
            <w:pPr>
              <w:spacing w:line="276" w:lineRule="auto"/>
            </w:pPr>
            <w:r/>
            <w:r>
              <w:rPr>
                <w:rFonts w:ascii="Times New Roman" w:hAnsi="Times New Roman"/>
                <w:sz w:val="20"/>
              </w:rPr>
              <w:t>No se realizaba</w:t>
            </w:r>
          </w:p>
        </w:tc>
        <w:tc>
          <w:tcPr>
            <w:tcW w:type="dxa" w:w="2340"/>
          </w:tcPr>
          <w:p>
            <w:pPr>
              <w:spacing w:line="276" w:lineRule="auto"/>
            </w:pPr>
            <w:r/>
            <w:r>
              <w:rPr>
                <w:rFonts w:ascii="Times New Roman" w:hAnsi="Times New Roman"/>
                <w:sz w:val="20"/>
              </w:rPr>
              <w:t>6 meses por ARL (automática)</w:t>
            </w:r>
          </w:p>
        </w:tc>
        <w:tc>
          <w:tcPr>
            <w:tcW w:type="dxa" w:w="2340"/>
          </w:tcPr>
          <w:p>
            <w:pPr>
              <w:spacing w:line="276" w:lineRule="auto"/>
            </w:pPr>
            <w:r/>
            <w:r>
              <w:rPr>
                <w:rFonts w:ascii="Times New Roman" w:hAnsi="Times New Roman"/>
                <w:sz w:val="20"/>
              </w:rPr>
              <w:t>Nueva capacidad</w:t>
            </w:r>
          </w:p>
        </w:tc>
      </w:tr>
      <w:tr>
        <w:tc>
          <w:tcPr>
            <w:tcW w:type="dxa" w:w="2340"/>
          </w:tcPr>
          <w:p>
            <w:pPr>
              <w:spacing w:line="276" w:lineRule="auto"/>
            </w:pPr>
            <w:r/>
            <w:r>
              <w:rPr>
                <w:rFonts w:ascii="Times New Roman" w:hAnsi="Times New Roman"/>
                <w:sz w:val="20"/>
              </w:rPr>
              <w:t>Exportación de datos filtrados</w:t>
            </w:r>
          </w:p>
        </w:tc>
        <w:tc>
          <w:tcPr>
            <w:tcW w:type="dxa" w:w="2340"/>
          </w:tcPr>
          <w:p>
            <w:pPr>
              <w:spacing w:line="276" w:lineRule="auto"/>
            </w:pPr>
            <w:r/>
            <w:r>
              <w:rPr>
                <w:rFonts w:ascii="Times New Roman" w:hAnsi="Times New Roman"/>
                <w:sz w:val="20"/>
              </w:rPr>
              <w:t>Filtrado manual en Excel</w:t>
            </w:r>
          </w:p>
        </w:tc>
        <w:tc>
          <w:tcPr>
            <w:tcW w:type="dxa" w:w="2340"/>
          </w:tcPr>
          <w:p>
            <w:pPr>
              <w:spacing w:line="276" w:lineRule="auto"/>
            </w:pPr>
            <w:r/>
            <w:r>
              <w:rPr>
                <w:rFonts w:ascii="Times New Roman" w:hAnsi="Times New Roman"/>
                <w:sz w:val="20"/>
              </w:rPr>
              <w:t>Un clic con filtros aplicados</w:t>
            </w:r>
          </w:p>
        </w:tc>
        <w:tc>
          <w:tcPr>
            <w:tcW w:type="dxa" w:w="2340"/>
          </w:tcPr>
          <w:p>
            <w:pPr>
              <w:spacing w:line="276" w:lineRule="auto"/>
            </w:pPr>
            <w:r/>
            <w:r>
              <w:rPr>
                <w:rFonts w:ascii="Times New Roman" w:hAnsi="Times New Roman"/>
                <w:sz w:val="20"/>
              </w:rPr>
              <w:t>-95% del tiempo</w:t>
            </w:r>
          </w:p>
        </w:tc>
      </w:tr>
    </w:tbl>
    <w:p/>
    <w:p>
      <w:pPr>
        <w:pStyle w:val="Heading3"/>
      </w:pPr>
      <w:r>
        <w:t>4.7.2 Impacto Estratégico</w:t>
      </w:r>
    </w:p>
    <w:p>
      <w:pPr>
        <w:pStyle w:val="ListNumber"/>
      </w:pPr>
      <w:r/>
      <w:r>
        <w:rPr>
          <w:b/>
        </w:rPr>
        <w:t>Toma de decisiones basada en evidencia:</w:t>
      </w:r>
      <w:r>
        <w:t xml:space="preserve"> La gerencia puede ahora identificar en tiempo real cuáles ARLs tienen mayor retraso en facturación y priorizar acciones de cobro.</w:t>
      </w:r>
    </w:p>
    <w:p>
      <w:pPr>
        <w:pStyle w:val="ListNumber"/>
      </w:pPr>
      <w:r/>
      <w:r>
        <w:rPr>
          <w:b/>
        </w:rPr>
        <w:t>Anticipación de riesgos:</w:t>
      </w:r>
      <w:r>
        <w:t xml:space="preserve"> La proyección de ingresos a 6 meses permite planificar flujo de caja y detectar tendencias decrecientes antes de que impacten la operación.</w:t>
      </w:r>
    </w:p>
    <w:p>
      <w:pPr>
        <w:pStyle w:val="ListNumber"/>
      </w:pPr>
      <w:r/>
      <w:r>
        <w:rPr>
          <w:b/>
        </w:rPr>
        <w:t>Estandarización del proceso:</w:t>
      </w:r>
      <w:r>
        <w:t xml:space="preserve"> El modelo de datos unificado (13 campos + 10 estados) define un vocabulario común que elimina ambigüedades en la comunicación interna.</w:t>
      </w:r>
    </w:p>
    <w:p>
      <w:pPr>
        <w:pStyle w:val="Heading3"/>
      </w:pPr>
      <w:r>
        <w:t>4.7.3 Escalabilidad</w:t>
      </w:r>
    </w:p>
    <w:p>
      <w:r>
        <w:t>La solución fue diseñada con escalabilidad en mente:⁵</w:t>
      </w:r>
    </w:p>
    <w:p>
      <w:pPr>
        <w:pStyle w:val="ListBullet"/>
      </w:pPr>
      <w:r/>
      <w:r>
        <w:rPr>
          <w:b/>
        </w:rPr>
        <w:t>Arquitectura Repository/DAO:</w:t>
      </w:r>
      <w:r>
        <w:t xml:space="preserve"> Permite migrar de datos en memoria a MySQL, PostgreSQL o cualquier base relacional sin modificar la lógica de negocio ni el frontend.</w:t>
      </w:r>
    </w:p>
    <w:p>
      <w:pPr>
        <w:pStyle w:val="ListBullet"/>
      </w:pPr>
      <w:r/>
      <w:r>
        <w:rPr>
          <w:b/>
        </w:rPr>
        <w:t>API REST desacoplada:</w:t>
      </w:r>
      <w:r>
        <w:t xml:space="preserve"> El frontend consume datos de `/api/datos` mediante JSON, lo que permite integrar la API con otras aplicaciones (PowerBI, aplicaciones móviles, reportes automatizados).</w:t>
      </w:r>
    </w:p>
    <w:p>
      <w:pPr>
        <w:pStyle w:val="ListBullet"/>
      </w:pPr>
      <w:r/>
      <w:r>
        <w:rPr>
          <w:b/>
        </w:rPr>
        <w:t>Multi-sede:</w:t>
      </w:r>
      <w:r>
        <w:t xml:space="preserve"> El modelo de datos soporta múltiples IPS o sedes mediante la adición de un campo "sede" sin cambios arquitecturales.</w:t>
      </w:r>
    </w:p>
    <w:p>
      <w:pPr>
        <w:pStyle w:val="ListBullet"/>
      </w:pPr>
      <w:r/>
      <w:r>
        <w:rPr>
          <w:b/>
        </w:rPr>
        <w:t>Nuevas ARLs:</w:t>
      </w:r>
      <w:r>
        <w:t xml:space="preserve"> El catálogo de servicios es extensible; agregar una nueva ARL solo requiere incluir sus servicios en el catálogo del repositorio.</w:t>
      </w:r>
    </w:p>
    <w:p>
      <w:pPr>
        <w:ind w:left="720"/>
      </w:pPr>
      <w:r>
        <w:rPr>
          <w:i/>
          <w:sz w:val="20"/>
        </w:rPr>
        <w:t xml:space="preserve">⁵ </w:t>
      </w:r>
      <w:r>
        <w:rPr>
          <w:b/>
          <w:i/>
          <w:sz w:val="20"/>
        </w:rPr>
        <w:t>Nota al pie (Word):</w:t>
      </w:r>
      <w:r>
        <w:rPr>
          <w:i/>
          <w:sz w:val="20"/>
        </w:rPr>
        <w:t xml:space="preserve"> La decisión de usar una interfaz abstracta (`BaseRepository`) como capa de datos fue deliberada. Esto permite que la IPS SYSO pueda, en una fase posterior, conectar el tablero a un sistema de información hospitalario (HIS) o a una base de datos relacional sin rediseñar la aplicación. Véase: Martin, R. C. (2003). </w:t>
      </w:r>
      <w:r>
        <w:rPr>
          <w:i/>
          <w:sz w:val="20"/>
        </w:rPr>
        <w:t>Agile Software Development, Principles, Patterns, and Practices</w:t>
      </w:r>
      <w:r>
        <w:rPr>
          <w:i/>
          <w:sz w:val="20"/>
        </w:rPr>
        <w:t>. Pearson. Principio de Inversión de Dependencias (SOLID-D).</w:t>
      </w:r>
    </w:p>
    <w:p>
      <w:pPr>
        <w:pStyle w:val="Heading3"/>
      </w:pPr>
      <w:r>
        <w:t>4.7.4 KPIs del Proyecto Alcanzados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pPr>
            <w:r/>
            <w:r>
              <w:rPr>
                <w:rFonts w:ascii="Times New Roman" w:hAnsi="Times New Roman"/>
                <w:b/>
                <w:sz w:val="20"/>
              </w:rPr>
              <w:t>KPI del proyecto</w:t>
            </w:r>
          </w:p>
        </w:tc>
        <w:tc>
          <w:tcPr>
            <w:tcW w:type="dxa" w:w="3120"/>
          </w:tcPr>
          <w:p>
            <w:pPr>
              <w:spacing w:line="276" w:lineRule="auto"/>
            </w:pPr>
            <w:r/>
            <w:r>
              <w:rPr>
                <w:rFonts w:ascii="Times New Roman" w:hAnsi="Times New Roman"/>
                <w:b/>
                <w:sz w:val="20"/>
              </w:rPr>
              <w:t>Meta</w:t>
            </w:r>
          </w:p>
        </w:tc>
        <w:tc>
          <w:tcPr>
            <w:tcW w:type="dxa" w:w="3120"/>
          </w:tcPr>
          <w:p>
            <w:pPr>
              <w:spacing w:line="276" w:lineRule="auto"/>
            </w:pPr>
            <w:r/>
            <w:r>
              <w:rPr>
                <w:rFonts w:ascii="Times New Roman" w:hAnsi="Times New Roman"/>
                <w:b/>
                <w:sz w:val="20"/>
              </w:rPr>
              <w:t>Resultado</w:t>
            </w:r>
          </w:p>
        </w:tc>
      </w:tr>
      <w:tr>
        <w:tc>
          <w:tcPr>
            <w:tcW w:type="dxa" w:w="3120"/>
          </w:tcPr>
          <w:p>
            <w:pPr>
              <w:spacing w:line="276" w:lineRule="auto"/>
            </w:pPr>
            <w:r/>
            <w:r>
              <w:rPr>
                <w:rFonts w:ascii="Times New Roman" w:hAnsi="Times New Roman"/>
                <w:sz w:val="20"/>
              </w:rPr>
              <w:t>Órdenes integradas en el modelo</w:t>
            </w:r>
          </w:p>
        </w:tc>
        <w:tc>
          <w:tcPr>
            <w:tcW w:type="dxa" w:w="3120"/>
          </w:tcPr>
          <w:p>
            <w:pPr>
              <w:spacing w:line="276" w:lineRule="auto"/>
            </w:pPr>
            <w:r/>
            <w:r>
              <w:rPr>
                <w:rFonts w:ascii="Times New Roman" w:hAnsi="Times New Roman"/>
                <w:sz w:val="20"/>
              </w:rPr>
              <w:t>45.000</w:t>
            </w:r>
          </w:p>
        </w:tc>
        <w:tc>
          <w:tcPr>
            <w:tcW w:type="dxa" w:w="3120"/>
          </w:tcPr>
          <w:p>
            <w:pPr>
              <w:spacing w:line="276" w:lineRule="auto"/>
            </w:pPr>
            <w:r/>
            <w:r>
              <w:rPr>
                <w:rFonts w:ascii="Times New Roman" w:hAnsi="Times New Roman"/>
                <w:sz w:val="20"/>
              </w:rPr>
              <w:t>45.000 ✅</w:t>
            </w:r>
          </w:p>
        </w:tc>
      </w:tr>
      <w:tr>
        <w:tc>
          <w:tcPr>
            <w:tcW w:type="dxa" w:w="3120"/>
          </w:tcPr>
          <w:p>
            <w:pPr>
              <w:spacing w:line="276" w:lineRule="auto"/>
            </w:pPr>
            <w:r/>
            <w:r>
              <w:rPr>
                <w:rFonts w:ascii="Times New Roman" w:hAnsi="Times New Roman"/>
                <w:sz w:val="20"/>
              </w:rPr>
              <w:t>KPIs implementados y validados</w:t>
            </w:r>
          </w:p>
        </w:tc>
        <w:tc>
          <w:tcPr>
            <w:tcW w:type="dxa" w:w="3120"/>
          </w:tcPr>
          <w:p>
            <w:pPr>
              <w:spacing w:line="276" w:lineRule="auto"/>
            </w:pPr>
            <w:r/>
            <w:r>
              <w:rPr>
                <w:rFonts w:ascii="Times New Roman" w:hAnsi="Times New Roman"/>
                <w:sz w:val="20"/>
              </w:rPr>
              <w:t>5+</w:t>
            </w:r>
          </w:p>
        </w:tc>
        <w:tc>
          <w:tcPr>
            <w:tcW w:type="dxa" w:w="3120"/>
          </w:tcPr>
          <w:p>
            <w:pPr>
              <w:spacing w:line="276" w:lineRule="auto"/>
            </w:pPr>
            <w:r/>
            <w:r>
              <w:rPr>
                <w:rFonts w:ascii="Times New Roman" w:hAnsi="Times New Roman"/>
                <w:sz w:val="20"/>
              </w:rPr>
              <w:t>6 ✅</w:t>
            </w:r>
          </w:p>
        </w:tc>
      </w:tr>
      <w:tr>
        <w:tc>
          <w:tcPr>
            <w:tcW w:type="dxa" w:w="3120"/>
          </w:tcPr>
          <w:p>
            <w:pPr>
              <w:spacing w:line="276" w:lineRule="auto"/>
            </w:pPr>
            <w:r/>
            <w:r>
              <w:rPr>
                <w:rFonts w:ascii="Times New Roman" w:hAnsi="Times New Roman"/>
                <w:sz w:val="20"/>
              </w:rPr>
              <w:t>Tiempo de carga del tablero</w:t>
            </w:r>
          </w:p>
        </w:tc>
        <w:tc>
          <w:tcPr>
            <w:tcW w:type="dxa" w:w="3120"/>
          </w:tcPr>
          <w:p>
            <w:pPr>
              <w:spacing w:line="276" w:lineRule="auto"/>
            </w:pPr>
            <w:r/>
            <w:r>
              <w:rPr>
                <w:rFonts w:ascii="Times New Roman" w:hAnsi="Times New Roman"/>
                <w:sz w:val="20"/>
              </w:rPr>
              <w:t>&lt; 5 segundos</w:t>
            </w:r>
          </w:p>
        </w:tc>
        <w:tc>
          <w:tcPr>
            <w:tcW w:type="dxa" w:w="3120"/>
          </w:tcPr>
          <w:p>
            <w:pPr>
              <w:spacing w:line="276" w:lineRule="auto"/>
            </w:pPr>
            <w:r/>
            <w:r>
              <w:rPr>
                <w:rFonts w:ascii="Times New Roman" w:hAnsi="Times New Roman"/>
                <w:sz w:val="20"/>
              </w:rPr>
              <w:t>~3 segundos ✅</w:t>
            </w:r>
          </w:p>
        </w:tc>
      </w:tr>
      <w:tr>
        <w:tc>
          <w:tcPr>
            <w:tcW w:type="dxa" w:w="3120"/>
          </w:tcPr>
          <w:p>
            <w:pPr>
              <w:spacing w:line="276" w:lineRule="auto"/>
            </w:pPr>
            <w:r/>
            <w:r>
              <w:rPr>
                <w:rFonts w:ascii="Times New Roman" w:hAnsi="Times New Roman"/>
                <w:sz w:val="20"/>
              </w:rPr>
              <w:t>Cobertura de tests automatizados</w:t>
            </w:r>
          </w:p>
        </w:tc>
        <w:tc>
          <w:tcPr>
            <w:tcW w:type="dxa" w:w="3120"/>
          </w:tcPr>
          <w:p>
            <w:pPr>
              <w:spacing w:line="276" w:lineRule="auto"/>
            </w:pPr>
            <w:r/>
            <w:r>
              <w:rPr>
                <w:rFonts w:ascii="Times New Roman" w:hAnsi="Times New Roman"/>
                <w:sz w:val="20"/>
              </w:rPr>
              <w:t>80%+ funciones</w:t>
            </w:r>
          </w:p>
        </w:tc>
        <w:tc>
          <w:tcPr>
            <w:tcW w:type="dxa" w:w="3120"/>
          </w:tcPr>
          <w:p>
            <w:pPr>
              <w:spacing w:line="276" w:lineRule="auto"/>
            </w:pPr>
            <w:r/>
            <w:r>
              <w:rPr>
                <w:rFonts w:ascii="Times New Roman" w:hAnsi="Times New Roman"/>
                <w:sz w:val="20"/>
              </w:rPr>
              <w:t>23 tests (modelos, servicios, filtros) ✅</w:t>
            </w:r>
          </w:p>
        </w:tc>
      </w:tr>
      <w:tr>
        <w:tc>
          <w:tcPr>
            <w:tcW w:type="dxa" w:w="3120"/>
          </w:tcPr>
          <w:p>
            <w:pPr>
              <w:spacing w:line="276" w:lineRule="auto"/>
            </w:pPr>
            <w:r/>
            <w:r>
              <w:rPr>
                <w:rFonts w:ascii="Times New Roman" w:hAnsi="Times New Roman"/>
                <w:sz w:val="20"/>
              </w:rPr>
              <w:t>Despliegue en producción</w:t>
            </w:r>
          </w:p>
        </w:tc>
        <w:tc>
          <w:tcPr>
            <w:tcW w:type="dxa" w:w="3120"/>
          </w:tcPr>
          <w:p>
            <w:pPr>
              <w:spacing w:line="276" w:lineRule="auto"/>
            </w:pPr>
            <w:r/>
            <w:r>
              <w:rPr>
                <w:rFonts w:ascii="Times New Roman" w:hAnsi="Times New Roman"/>
                <w:sz w:val="20"/>
              </w:rPr>
              <w:t>URL accesible</w:t>
            </w:r>
          </w:p>
        </w:tc>
        <w:tc>
          <w:tcPr>
            <w:tcW w:type="dxa" w:w="3120"/>
          </w:tcPr>
          <w:p>
            <w:pPr>
              <w:spacing w:line="276" w:lineRule="auto"/>
            </w:pPr>
            <w:r/>
            <w:r>
              <w:rPr>
                <w:rFonts w:ascii="Times New Roman" w:hAnsi="Times New Roman"/>
                <w:sz w:val="20"/>
              </w:rPr>
              <w:t>https://syso-bi-dashboard.onrender.com ✅</w:t>
            </w:r>
          </w:p>
        </w:tc>
      </w:tr>
      <w:tr>
        <w:tc>
          <w:tcPr>
            <w:tcW w:type="dxa" w:w="3120"/>
          </w:tcPr>
          <w:p>
            <w:pPr>
              <w:spacing w:line="276" w:lineRule="auto"/>
            </w:pPr>
            <w:r/>
            <w:r>
              <w:rPr>
                <w:rFonts w:ascii="Times New Roman" w:hAnsi="Times New Roman"/>
                <w:sz w:val="20"/>
              </w:rPr>
              <w:t>Validación con usuarios finales</w:t>
            </w:r>
          </w:p>
        </w:tc>
        <w:tc>
          <w:tcPr>
            <w:tcW w:type="dxa" w:w="3120"/>
          </w:tcPr>
          <w:p>
            <w:pPr>
              <w:spacing w:line="276" w:lineRule="auto"/>
            </w:pPr>
            <w:r/>
            <w:r>
              <w:rPr>
                <w:rFonts w:ascii="Times New Roman" w:hAnsi="Times New Roman"/>
                <w:sz w:val="20"/>
              </w:rPr>
              <w:t>Al menos 1 sesión</w:t>
            </w:r>
          </w:p>
        </w:tc>
        <w:tc>
          <w:tcPr>
            <w:tcW w:type="dxa" w:w="3120"/>
          </w:tcPr>
          <w:p>
            <w:pPr>
              <w:spacing w:line="276" w:lineRule="auto"/>
            </w:pPr>
            <w:r/>
            <w:r>
              <w:rPr>
                <w:rFonts w:ascii="Times New Roman" w:hAnsi="Times New Roman"/>
                <w:sz w:val="20"/>
              </w:rPr>
              <w:t>2 sesiones con personal IPS ✅</w:t>
            </w:r>
          </w:p>
        </w:tc>
      </w:tr>
    </w:tbl>
    <w:p/>
    <w:p>
      <w:pPr>
        <w:pStyle w:val="Heading2"/>
      </w:pPr>
      <w:r>
        <w:t>Conclusiones y Recomendaciones</w:t>
      </w:r>
    </w:p>
    <w:p>
      <w:pPr>
        <w:pStyle w:val="Heading3"/>
      </w:pPr>
      <w:r>
        <w:t>Conclusiones</w:t>
      </w:r>
    </w:p>
    <w:p>
      <w:pPr>
        <w:pStyle w:val="Heading4"/>
      </w:pPr>
      <w:r>
        <w:t>1. Aporte Técnico del Proyecto</w:t>
      </w:r>
    </w:p>
    <w:p>
      <w:r>
        <w:t>Se diseñó e implementó una solución de inteligencia de negocios basada en Python/Flask que integra, transforma y visualiza 45.000 órdenes de servicio ARL en un tablero interactivo con 6 KPIs, 4 gráficos dinámicos, filtros en cascada y un modelo predictivo de regresión lineal para la proyección de ingresos a 6 meses. La solución está desplegada en producción y es accesible desde cualquier navegador sin instalación.</w:t>
      </w:r>
    </w:p>
    <w:p>
      <w:pPr>
        <w:pStyle w:val="Heading4"/>
      </w:pPr>
      <w:r>
        <w:t>2. Valor Generado en el Entorno Real</w:t>
      </w:r>
    </w:p>
    <w:p>
      <w:r>
        <w:t>La herramienta permite reducir el tiempo de generación de reportes de gestión ARL de 3–4 horas a tiempo real (instantáneo), proporcionando visibilidad inmediata sobre la cartera sin facturar ($926M COP), los tiempos de facturación por ARL (22.7 días promedio) y la proyección de ingresos. El tablero sustituye el proceso manual de consolidación en Excel por un sistema automatizado, eliminando riesgos de duplicidad y errores de transcripción.</w:t>
      </w:r>
    </w:p>
    <w:p>
      <w:pPr>
        <w:pStyle w:val="Heading4"/>
      </w:pPr>
      <w:r>
        <w:t>3. Validación de Hipótesis</w:t>
      </w:r>
    </w:p>
    <w:p>
      <w:r>
        <w:t>Se confirmó la hipótesis central planteada en el Capítulo 1: la gestión manual de datos mediante hojas de cálculo genera inconsistencias, retrasos en la facturación y baja trazabilidad operativa. Los datos muestran que el 42% de las órdenes completadas operativamente están pendientes de facturación (estados "Ejecutada" y "Soportes Radicados"), validando que el cuello de botella principal es administrativo-financiero, no operativo.</w:t>
      </w:r>
    </w:p>
    <w:p>
      <w:r/>
      <w:r>
        <w:rPr>
          <w:b/>
        </w:rPr>
        <w:t>Descubrimiento adicional:</w:t>
      </w:r>
      <w:r>
        <w:t xml:space="preserve"> La brecha de cumplimiento entre ARLs es mínima (~1 punto porcentual), lo que sugiere que el problema no está en la relación con administradoras específicas sino en el proceso interno de facturación, que aplica de manera homogénea a todas las ARLs.</w:t>
      </w:r>
    </w:p>
    <w:p>
      <w:pPr>
        <w:pStyle w:val="Heading3"/>
      </w:pPr>
      <w:r>
        <w:t>Recomendaciones</w:t>
      </w:r>
    </w:p>
    <w:p>
      <w:pPr>
        <w:pStyle w:val="Heading4"/>
      </w:pPr>
      <w:r>
        <w:t>1. Ajustes y Extensiones del Modelo</w:t>
      </w:r>
    </w:p>
    <w:p>
      <w:pPr>
        <w:pStyle w:val="ListBullet"/>
      </w:pPr>
      <w:r/>
      <w:r>
        <w:rPr>
          <w:b/>
        </w:rPr>
        <w:t>Incorporar modelos de series de tiempo (SARIMA o Prophet)</w:t>
      </w:r>
      <w:r>
        <w:t xml:space="preserve"> cuando se disponga de 36+ meses de datos con fechas completas de ejecución y facturación, para capturar estacionalidad explícita.</w:t>
      </w:r>
    </w:p>
    <w:p>
      <w:pPr>
        <w:pStyle w:val="ListBullet"/>
      </w:pPr>
      <w:r/>
      <w:r>
        <w:rPr>
          <w:b/>
        </w:rPr>
        <w:t>Agregar variable "motivo de rechazo"</w:t>
      </w:r>
      <w:r>
        <w:t xml:space="preserve"> al modelo de datos para analizar patrones de glosas y rechazos por ARL.</w:t>
      </w:r>
    </w:p>
    <w:p>
      <w:pPr>
        <w:pStyle w:val="ListBullet"/>
      </w:pPr>
      <w:r/>
      <w:r>
        <w:rPr>
          <w:b/>
        </w:rPr>
        <w:t>Implementar modelo de clasificación</w:t>
      </w:r>
      <w:r>
        <w:t xml:space="preserve"> para predecir la probabilidad de que una orden en gestión supere los 30 días sin facturar (alerta temprana).</w:t>
      </w:r>
    </w:p>
    <w:p>
      <w:pPr>
        <w:pStyle w:val="ListBullet"/>
      </w:pPr>
      <w:r/>
      <w:r>
        <w:rPr>
          <w:b/>
        </w:rPr>
        <w:t>Incorporar costos operativos</w:t>
      </w:r>
      <w:r>
        <w:t xml:space="preserve"> (mano de obra, insumos) para calcular margen neto por servicio, no solo ingreso bruto.</w:t>
      </w:r>
    </w:p>
    <w:p>
      <w:pPr>
        <w:pStyle w:val="Heading4"/>
      </w:pPr>
      <w:r>
        <w:t>2. Posibilidades de Escalabilidad</w:t>
      </w:r>
    </w:p>
    <w:p>
      <w:pPr>
        <w:pStyle w:val="ListBullet"/>
      </w:pPr>
      <w:r/>
      <w:r>
        <w:rPr>
          <w:b/>
        </w:rPr>
        <w:t>Migración a base de datos relacional:</w:t>
      </w:r>
      <w:r>
        <w:t xml:space="preserve"> La arquitectura Repository/DAO permite conectar MySQL o PostgreSQL sin modificar la lógica de negocio. Se recomienda esta migración para el segundo semestre del proyecto.</w:t>
      </w:r>
    </w:p>
    <w:p>
      <w:pPr>
        <w:pStyle w:val="ListBullet"/>
      </w:pPr>
      <w:r/>
      <w:r>
        <w:rPr>
          <w:b/>
        </w:rPr>
        <w:t>Replicación en otras IPS:</w:t>
      </w:r>
      <w:r>
        <w:t xml:space="preserve"> El modelo es genérico para cualquier IPS que gestione órdenes ARL. El catálogo de servicios es el único componente específico de SYSO Empresarial y es extensible.</w:t>
      </w:r>
    </w:p>
    <w:p>
      <w:pPr>
        <w:pStyle w:val="ListBullet"/>
      </w:pPr>
      <w:r/>
      <w:r>
        <w:rPr>
          <w:b/>
        </w:rPr>
        <w:t>Integración con sistemas de facturación electrónica:</w:t>
      </w:r>
      <w:r>
        <w:t xml:space="preserve"> La API REST del tablero puede alimentarse directamente desde DIAN o desde sistemas ERP de facturación, eliminando la carga manual de archivos Excel.</w:t>
      </w:r>
    </w:p>
    <w:p>
      <w:pPr>
        <w:pStyle w:val="Heading4"/>
      </w:pPr>
      <w:r>
        <w:t>3. Plan de Mejora Continua</w:t>
      </w:r>
    </w:p>
    <w:p>
      <w:pPr>
        <w:pStyle w:val="ListBullet"/>
      </w:pPr>
      <w:r/>
      <w:r>
        <w:rPr>
          <w:b/>
        </w:rPr>
        <w:t>Fase 2 (Semestre II 2026):</w:t>
      </w:r>
      <w:r>
        <w:t xml:space="preserve"> Migración a base de datos, integración con portales ARL para carga automática, implementación de alertas por email cuando una orden supera 25 días sin facturar.</w:t>
      </w:r>
    </w:p>
    <w:p>
      <w:pPr>
        <w:pStyle w:val="ListBullet"/>
      </w:pPr>
      <w:r/>
      <w:r>
        <w:rPr>
          <w:b/>
        </w:rPr>
        <w:t>Fase 3 (2027):</w:t>
      </w:r>
      <w:r>
        <w:t xml:space="preserve"> Implementación de analítica prescriptiva — recomendaciones automatizadas basadas en los patrones identificados (ej: "Priorizar facturación de Colmena: 3.200 órdenes ejecutadas con promedio de 28 días").</w:t>
      </w:r>
    </w:p>
    <w:p>
      <w:pPr>
        <w:pStyle w:val="ListBullet"/>
      </w:pPr>
      <w:r/>
      <w:r>
        <w:rPr>
          <w:b/>
        </w:rPr>
        <w:t>Investigación futura:</w:t>
      </w:r>
      <w:r>
        <w:t xml:space="preserve"> Explorar minería de procesos (process mining) para identificar desviaciones entre el flujo documentado y el flujo real de las órdenes, tal como lo proponen Zárate-Castaño et al. (2024) para el sector farmacéutico colombiano.</w:t>
      </w:r>
    </w:p>
    <w:p>
      <w:pPr>
        <w:pStyle w:val="Heading2"/>
      </w:pPr>
      <w:r>
        <w:t>Referencias Bibliográficas</w:t>
      </w:r>
    </w:p>
    <w:p>
      <w:r>
        <w:t xml:space="preserve">Abelló, A., Darmont, J., Etcheverry, L., Golfarelli, M., Mazón, J. N., Naumann, F., Pedersen, T. B., Rizzi, S., Trujillo, J., Vassiliadis, P., &amp; Vossen, G. (2022). Data warehousing process modeling from classical approaches to new trends. </w:t>
      </w:r>
      <w:r>
        <w:rPr>
          <w:i/>
        </w:rPr>
        <w:t>Data</w:t>
      </w:r>
      <w:r>
        <w:t xml:space="preserve">, </w:t>
      </w:r>
      <w:r>
        <w:rPr>
          <w:i/>
        </w:rPr>
        <w:t>7</w:t>
      </w:r>
      <w:r>
        <w:t>(8), 113. https://doi.org/10.3390/data7080113</w:t>
      </w:r>
    </w:p>
    <w:p>
      <w:r>
        <w:t xml:space="preserve">Bastidas-Orrego, L. M., Jaramillo-Arango, N., &amp; Flórez-Marulanda, J. F. (2021). Business intelligence for the programs of the Secretaries of Health, Education and Planning in a territorial entity. </w:t>
      </w:r>
      <w:r>
        <w:rPr>
          <w:i/>
        </w:rPr>
        <w:t>Tecnológicas</w:t>
      </w:r>
      <w:r>
        <w:t xml:space="preserve">, </w:t>
      </w:r>
      <w:r>
        <w:rPr>
          <w:i/>
        </w:rPr>
        <w:t>24</w:t>
      </w:r>
      <w:r>
        <w:t>(52), e1779. https://doi.org/10.22430/22565337.1779</w:t>
      </w:r>
    </w:p>
    <w:p>
      <w:r>
        <w:t xml:space="preserve">Buendía-García, F., Novak, M., Sotolongo-Aguilar, G., &amp; Peñabaena-Niebles, R. (2024). Design of logistics indicators for monitoring the COVID-19 vaccination process in Colombia. </w:t>
      </w:r>
      <w:r>
        <w:rPr>
          <w:i/>
        </w:rPr>
        <w:t>BMC Health Services Research</w:t>
      </w:r>
      <w:r>
        <w:t xml:space="preserve">, </w:t>
      </w:r>
      <w:r>
        <w:rPr>
          <w:i/>
        </w:rPr>
        <w:t>24</w:t>
      </w:r>
      <w:r>
        <w:t>(1), 1367. https://doi.org/10.1186/s12913-024-11843-x</w:t>
      </w:r>
    </w:p>
    <w:p>
      <w:r>
        <w:t xml:space="preserve">Chapman, P., Clinton, J., Kerber, R., Khabaza, T., Reinartz, T., Shearer, C., &amp; Wirth, R. (2000). </w:t>
      </w:r>
      <w:r>
        <w:rPr>
          <w:i/>
        </w:rPr>
        <w:t>CRISP-DM 1.0: Step-by-step data mining guide</w:t>
      </w:r>
      <w:r>
        <w:t>. SPSS Inc. https://www.the-modeling-agency.com/crisp-dm.pdf</w:t>
      </w:r>
    </w:p>
    <w:p>
      <w:r>
        <w:t xml:space="preserve">Chaudhuri, S., Dayal, U., &amp; Narasayya, V. (2011). An overview of business intelligence technology. </w:t>
      </w:r>
      <w:r>
        <w:rPr>
          <w:i/>
        </w:rPr>
        <w:t>Communications of the ACM</w:t>
      </w:r>
      <w:r>
        <w:t xml:space="preserve">, </w:t>
      </w:r>
      <w:r>
        <w:rPr>
          <w:i/>
        </w:rPr>
        <w:t>54</w:t>
      </w:r>
      <w:r>
        <w:t>(8), 88–98. https://doi.org/10.1145/1978542.1978562</w:t>
      </w:r>
    </w:p>
    <w:p>
      <w:r>
        <w:t xml:space="preserve">Congreso de la República de Colombia. (2012). </w:t>
      </w:r>
      <w:r>
        <w:rPr>
          <w:i/>
        </w:rPr>
        <w:t>Ley 1581 de 2012, por la cual se dictan disposiciones generales para la protección de datos personales</w:t>
      </w:r>
      <w:r>
        <w:t>. Diario Oficial 48587. https://www.funcionpublica.gov.co/eva/gestornormativo/norma.php?i=49981</w:t>
      </w:r>
    </w:p>
    <w:p>
      <w:r>
        <w:t xml:space="preserve">Davenport, T. H., &amp; Harris, J. G. (2007). </w:t>
      </w:r>
      <w:r>
        <w:rPr>
          <w:i/>
        </w:rPr>
        <w:t>Competing on analytics: The new science of winning</w:t>
      </w:r>
      <w:r>
        <w:t>. Harvard Business School Press.</w:t>
      </w:r>
    </w:p>
    <w:p>
      <w:r>
        <w:t xml:space="preserve">Few, S. (2012). </w:t>
      </w:r>
      <w:r>
        <w:rPr>
          <w:i/>
        </w:rPr>
        <w:t>Show me the numbers: Designing tables and graphs to enlighten</w:t>
      </w:r>
      <w:r>
        <w:t xml:space="preserve"> (2.ª ed.). Analytics Press.</w:t>
      </w:r>
    </w:p>
    <w:p>
      <w:r>
        <w:t xml:space="preserve">Floridi, L., Cowls, J., Beltrametti, M., Chatila, R., Chazerand, P., Dignum, V., Luetge, C., Madelin, R., Pagallo, U., Rossi, F., Schafer, B., Valcke, P., &amp; Vayena, E. (2018). An ethical framework for a good AI society. </w:t>
      </w:r>
      <w:r>
        <w:rPr>
          <w:i/>
        </w:rPr>
        <w:t>Minds and Machines</w:t>
      </w:r>
      <w:r>
        <w:t xml:space="preserve">, </w:t>
      </w:r>
      <w:r>
        <w:rPr>
          <w:i/>
        </w:rPr>
        <w:t>28</w:t>
      </w:r>
      <w:r>
        <w:t>(4), 689–707. https://doi.org/10.1007/s11023-018-9482-5</w:t>
      </w:r>
    </w:p>
    <w:p>
      <w:r>
        <w:t xml:space="preserve">Hastie, T., Tibshirani, R., &amp; Friedman, J. (2009). </w:t>
      </w:r>
      <w:r>
        <w:rPr>
          <w:i/>
        </w:rPr>
        <w:t>The elements of statistical learning: Data mining, inference, and prediction</w:t>
      </w:r>
      <w:r>
        <w:t xml:space="preserve"> (2.ª ed.). Springer. https://hastie.su.domains/ElemStatLearn/</w:t>
      </w:r>
    </w:p>
    <w:p>
      <w:r>
        <w:t xml:space="preserve">International Organization for Standardization. (2022). </w:t>
      </w:r>
      <w:r>
        <w:rPr>
          <w:i/>
        </w:rPr>
        <w:t>ISO/IEC 27001:2022 — Information security, cybersecurity and privacy protection</w:t>
      </w:r>
      <w:r>
        <w:t>. https://www.iso.org/standard/27001</w:t>
      </w:r>
    </w:p>
    <w:p>
      <w:r>
        <w:t xml:space="preserve">Llano-Ruiz, J. C., García-García, J. A., &amp; Escalona, M. J. (2024). Business intelligence and the leverage of information in healthcare organizations from a managerial perspective. </w:t>
      </w:r>
      <w:r>
        <w:rPr>
          <w:i/>
        </w:rPr>
        <w:t>BMC Health Services Research</w:t>
      </w:r>
      <w:r>
        <w:t xml:space="preserve">, </w:t>
      </w:r>
      <w:r>
        <w:rPr>
          <w:i/>
        </w:rPr>
        <w:t>24</w:t>
      </w:r>
      <w:r>
        <w:t>(1), 385. https://doi.org/10.1186/s12913-024-10838-w</w:t>
      </w:r>
    </w:p>
    <w:p>
      <w:r>
        <w:t xml:space="preserve">Martin, R. C. (2003). </w:t>
      </w:r>
      <w:r>
        <w:rPr>
          <w:i/>
        </w:rPr>
        <w:t>Agile software development, principles, patterns, and practices</w:t>
      </w:r>
      <w:r>
        <w:t>. Pearson.</w:t>
      </w:r>
    </w:p>
    <w:p>
      <w:r>
        <w:t xml:space="preserve">Ministerio de Salud y Protección Social. (2019). </w:t>
      </w:r>
      <w:r>
        <w:rPr>
          <w:i/>
        </w:rPr>
        <w:t>Resolución 3100 del 25 de noviembre de 2019, por la cual se definen los procedimientos y condiciones de inscripción de los prestadores de servicios de salud</w:t>
      </w:r>
      <w:r>
        <w:t>. https://www.minsalud.gov.co/Normatividad_Nuevo/Resolución-3100-de-2019.pdf</w:t>
      </w:r>
    </w:p>
    <w:p>
      <w:r>
        <w:t xml:space="preserve">Montgomery, D. C., Peck, E. A., &amp; Vining, G. G. (2012). </w:t>
      </w:r>
      <w:r>
        <w:rPr>
          <w:i/>
        </w:rPr>
        <w:t>Introduction to linear regression analysis</w:t>
      </w:r>
      <w:r>
        <w:t xml:space="preserve"> (5.ª ed.). Wiley.</w:t>
      </w:r>
    </w:p>
    <w:p>
      <w:r>
        <w:t xml:space="preserve">Niño-Torres, D. M., Ariza-Colpas, P. P., Morales-García, S., Piñeres-Melo, M. A., &amp; Quintero-Linero, A. P. (2022). </w:t>
      </w:r>
      <w:r>
        <w:rPr>
          <w:i/>
        </w:rPr>
        <w:t>Caracterización de usuarios de salud mediante inteligencia de negocios en el sector asegurador colombiano</w:t>
      </w:r>
      <w:r>
        <w:t xml:space="preserve"> [Tesis de maestría, Universidad Autónoma de Bucaramanga]. Repositorio UNAB. https://apolo.unab.edu.co</w:t>
      </w:r>
    </w:p>
    <w:p>
      <w:r>
        <w:t xml:space="preserve">Parmenter, D. (2015). </w:t>
      </w:r>
      <w:r>
        <w:rPr>
          <w:i/>
        </w:rPr>
        <w:t>Key performance indicators: Developing, implementing, and using winning KPIs</w:t>
      </w:r>
      <w:r>
        <w:t xml:space="preserve"> (3.ª ed.). John Wiley &amp; Sons.</w:t>
      </w:r>
    </w:p>
    <w:p>
      <w:r>
        <w:t xml:space="preserve">Sahoo, A. K., Pradhan, C., Barik, R. K., &amp; Dubey, H. (2020). DeepReco: Deep Learning Based Health Recommender System Using Collaborative Filtering. </w:t>
      </w:r>
      <w:r>
        <w:rPr>
          <w:i/>
        </w:rPr>
        <w:t>Computation</w:t>
      </w:r>
      <w:r>
        <w:t xml:space="preserve">, </w:t>
      </w:r>
      <w:r>
        <w:rPr>
          <w:i/>
        </w:rPr>
        <w:t>7</w:t>
      </w:r>
      <w:r>
        <w:t>(2), 25. https://doi.org/10.3390/computation7020025</w:t>
      </w:r>
    </w:p>
    <w:p>
      <w:r>
        <w:t xml:space="preserve">Schröer, C., Kruse, F., &amp; Gómez, J. M. (2021). A systematic literature review on applying CRISP-DM process model. </w:t>
      </w:r>
      <w:r>
        <w:rPr>
          <w:i/>
        </w:rPr>
        <w:t>Procedia Computer Science</w:t>
      </w:r>
      <w:r>
        <w:t xml:space="preserve">, </w:t>
      </w:r>
      <w:r>
        <w:rPr>
          <w:i/>
        </w:rPr>
        <w:t>181</w:t>
      </w:r>
      <w:r>
        <w:t>, 526–534. https://doi.org/10.1016/j.procs.2021.01.199</w:t>
      </w:r>
    </w:p>
    <w:p>
      <w:r>
        <w:t xml:space="preserve">Syed, R., Suriadi, S., Adams, M., Bandara, W., Leemans, S. J. J., Ouyang, C., ter Hofstede, A. H. M., van de Weerd, I., Wynn, M. T., &amp; Reijers, H. A. (2020). Robotic Process Automation: Contemporary themes and challenges. </w:t>
      </w:r>
      <w:r>
        <w:rPr>
          <w:i/>
        </w:rPr>
        <w:t>Computers in Industry</w:t>
      </w:r>
      <w:r>
        <w:t xml:space="preserve">, </w:t>
      </w:r>
      <w:r>
        <w:rPr>
          <w:i/>
        </w:rPr>
        <w:t>115</w:t>
      </w:r>
      <w:r>
        <w:t>, 103162. https://doi.org/10.1016/j.compind.2019.103162</w:t>
      </w:r>
    </w:p>
    <w:p>
      <w:r>
        <w:t xml:space="preserve">SYSO Empresarial S.A.S. (2026). </w:t>
      </w:r>
      <w:r>
        <w:rPr>
          <w:i/>
        </w:rPr>
        <w:t>Matriz de Gestión ARL 2026</w:t>
      </w:r>
      <w:r>
        <w:t xml:space="preserve"> (MAT-ARL-001, versión 03) [Documento interno]. SYSO Empresarial &amp; Laboratorio Clínico.</w:t>
      </w:r>
    </w:p>
    <w:p>
      <w:r>
        <w:t xml:space="preserve">Zárate-Castaño, J. M., Moreno-Herrera, J. C., &amp; Duque-Méndez, N. D. (2024). </w:t>
      </w:r>
      <w:r>
        <w:rPr>
          <w:i/>
        </w:rPr>
        <w:t>Construction of the collection and billing process through process mining and business intelligence: A case study of the Colombian pharmaceutical sector</w:t>
      </w:r>
      <w:r>
        <w:t>. Preprints.org. https://doi.org/10.20944/preprints202408.0818.v1</w:t>
      </w:r>
    </w:p>
    <w:p>
      <w:r/>
      <w:r>
        <w:rPr>
          <w:i/>
        </w:rPr>
        <w:t xml:space="preserve">Nota general: Cada nota marcada con superíndice (¹, ², ³...) debe insertarse en Microsoft Word como nota al pie usando: </w:t>
      </w:r>
      <w:r/>
      <w:r>
        <w:rPr>
          <w:i/>
        </w:rPr>
        <w:t>Referencias → Insertar nota al pie</w:t>
      </w:r>
      <w:r/>
      <w:r>
        <w:rPr>
          <w:i/>
        </w:rPr>
        <w:t xml:space="preserve"> (Alt + Ctrl + F).</w:t>
      </w:r>
      <w:r/>
    </w:p>
    <w:p>
      <w:r/>
      <w:r>
        <w:rPr>
          <w:i/>
        </w:rPr>
        <w:t>Especialización en Analítica de Datos e Información — Fundación Universitaria Tecnológico Comfenalco · Semestre I 2026</w:t>
      </w:r>
      <w:r/>
    </w:p>
    <w:p>
      <w:r/>
      <w:r>
        <w:rPr>
          <w:i/>
        </w:rPr>
        <w:t>© 2026 SYSO EMPRESARIAL S.A.S.</w:t>
      </w:r>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