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00"/>
      </w:pPr>
      <w:r>
        <w:rPr>
          <w:rFonts w:ascii="Arial" w:cs="Arial" w:eastAsia="Arial" w:hAnsi="Arial"/>
          <w:b/>
          <w:bCs/>
          <w:color w:val="1F3864"/>
          <w:sz w:val="60"/>
          <w:szCs w:val="60"/>
        </w:rPr>
        <w:t xml:space="preserve">Cafetería SAUCO</w:t>
      </w:r>
    </w:p>
    <w:p>
      <w:pPr>
        <w:pBdr>
          <w:bottom w:val="single" w:color="2F6FDE" w:sz="12" w:space="6"/>
        </w:pBdr>
        <w:spacing w:after="240"/>
      </w:pPr>
      <w:r>
        <w:rPr>
          <w:rFonts w:ascii="Arial" w:cs="Arial" w:eastAsia="Arial" w:hAnsi="Arial"/>
          <w:color w:val="2F6FDE"/>
          <w:sz w:val="30"/>
          <w:szCs w:val="30"/>
        </w:rPr>
        <w:t xml:space="preserve">Estrategia de crecimiento: carta de café frío de autor para el verano</w:t>
      </w:r>
    </w:p>
    <w:p>
      <w:pPr>
        <w:spacing w:after="140" w:line="300"/>
      </w:pPr>
      <w:r>
        <w:rPr>
          <w:rFonts w:ascii="Arial" w:cs="Arial" w:eastAsia="Arial" w:hAnsi="Arial"/>
          <w:sz w:val="22"/>
          <w:szCs w:val="22"/>
        </w:rPr>
        <w:t xml:space="preserve">Trabajo práctico grupal · Dirección de Marketing · MBA Regional 2026</w:t>
      </w:r>
    </w:p>
    <w:p>
      <w:pPr>
        <w:spacing w:after="140" w:line="300"/>
      </w:pPr>
      <w:r>
        <w:rPr>
          <w:rFonts w:ascii="Arial" w:cs="Arial" w:eastAsia="Arial" w:hAnsi="Arial"/>
          <w:sz w:val="22"/>
          <w:szCs w:val="22"/>
        </w:rPr>
        <w:t xml:space="preserve">Profesora: Carolina Del Hoyo</w:t>
      </w:r>
    </w:p>
    <w:p>
      <w:pPr>
        <w:spacing w:after="140" w:line="300"/>
      </w:pPr>
      <w:r>
        <w:rPr>
          <w:rFonts w:ascii="Arial" w:cs="Arial" w:eastAsia="Arial" w:hAnsi="Arial"/>
          <w:sz w:val="22"/>
          <w:szCs w:val="22"/>
        </w:rPr>
        <w:t xml:space="preserve">Integrantes: </w:t>
      </w:r>
      <w:r>
        <w:rPr>
          <w:rFonts w:ascii="Arial" w:cs="Arial" w:eastAsia="Arial" w:hAnsi="Arial"/>
          <w:sz w:val="22"/>
          <w:szCs w:val="22"/>
          <w:highlight w:val="yellow"/>
        </w:rPr>
        <w:t xml:space="preserve">[completar los nombres del grupo]</w:t>
      </w:r>
    </w:p>
    <w:p>
      <w:pPr>
        <w:spacing w:after="140" w:line="300"/>
      </w:pPr>
      <w:r>
        <w:rPr>
          <w:rFonts w:ascii="Arial" w:cs="Arial" w:eastAsia="Arial" w:hAnsi="Arial"/>
          <w:sz w:val="22"/>
          <w:szCs w:val="22"/>
        </w:rPr>
        <w:t xml:space="preserve">Entrega: viernes 23 de octubre de 2026, 23:59 (campus virtual)</w:t>
      </w:r>
    </w:p>
    <w:p>
      <w:pPr>
        <w:spacing w:after="160" w:line="280"/>
      </w:pPr>
      <w:r>
        <w:rPr>
          <w:rFonts w:ascii="Arial" w:cs="Arial" w:eastAsia="Arial" w:hAnsi="Arial"/>
          <w:i/>
          <w:iCs/>
          <w:color w:val="6B7280"/>
          <w:sz w:val="20"/>
          <w:szCs w:val="20"/>
        </w:rPr>
        <w:t xml:space="preserve">Versión 8. Borrador armado a partir del documento del grupo (Cafeteria_SAUCO.docx). Lo que está entre corchetes y resaltado está pendiente de completar o confirmar. Lo que está en rojo es una guía o un ejemplo para completar y se reemplaza en la versión final. Los textos de justificación de Ansoff, de la rivalidad en Porter y del paso 5 del Growth Roadmap son propuestas para revisar.</w:t>
      </w:r>
    </w:p>
    <w:p>
      <w:pPr>
        <w:pStyle w:val="Heading1"/>
      </w:pPr>
      <w:r>
        <w:rPr>
          <w:rFonts w:ascii="Arial" w:cs="Arial" w:eastAsia="Arial" w:hAnsi="Arial"/>
        </w:rPr>
        <w:t xml:space="preserve">1. La cafetería</w:t>
      </w:r>
    </w:p>
    <w:p>
      <w:pPr>
        <w:spacing w:after="140" w:line="300"/>
      </w:pPr>
      <w:r>
        <w:rPr>
          <w:rFonts w:ascii="Arial" w:cs="Arial" w:eastAsia="Arial" w:hAnsi="Arial"/>
        </w:rPr>
        <w:t xml:space="preserve">SAUCO es una cafetería ubicada en una zona céntrica de Montevideo. Atiende de lunes a sábado, de 8:00 a 20:00, con desayuno, almuerzo y merienda. El almuerzo es un menú del día con dos opciones (una vegetariana y otra tradicional) y también ofrece viandas.</w:t>
      </w:r>
    </w:p>
    <w:p>
      <w:pPr>
        <w:spacing w:after="140" w:line="300"/>
      </w:pPr>
      <w:r>
        <w:rPr>
          <w:rFonts w:ascii="Arial" w:cs="Arial" w:eastAsia="Arial" w:hAnsi="Arial"/>
        </w:rPr>
        <w:t xml:space="preserve">SAUCO no elabora nada de lo que vende: todo está tercerizado. Su producto principal es el café uruguayo, que se prepara con distintos métodos y es el más rentable: se vende con un recargo aproximado del 150% sobre su costo.</w:t>
      </w:r>
    </w:p>
    <w:p>
      <w:pPr>
        <w:spacing w:after="140" w:line="300"/>
      </w:pPr>
      <w:r>
        <w:rPr>
          <w:rFonts w:ascii="Arial" w:cs="Arial" w:eastAsia="Arial" w:hAnsi="Arial"/>
        </w:rPr>
        <w:t xml:space="preserve">Equipo: </w:t>
      </w:r>
      <w:r>
        <w:rPr>
          <w:rFonts w:ascii="Arial" w:cs="Arial" w:eastAsia="Arial" w:hAnsi="Arial"/>
          <w:highlight w:val="yellow"/>
        </w:rPr>
        <w:t xml:space="preserve">[completar la cantidad de empleados y qué hace cada uno]</w:t>
      </w:r>
      <w:r>
        <w:rPr>
          <w:rFonts w:ascii="Arial" w:cs="Arial" w:eastAsia="Arial" w:hAnsi="Arial"/>
        </w:rPr>
        <w:t xml:space="preserve">.</w:t>
      </w:r>
    </w:p>
    <w:p>
      <w:pPr>
        <w:pStyle w:val="Heading1"/>
      </w:pPr>
      <w:r>
        <w:rPr>
          <w:rFonts w:ascii="Arial" w:cs="Arial" w:eastAsia="Arial" w:hAnsi="Arial"/>
        </w:rPr>
        <w:t xml:space="preserve">2. Matriz de Ansoff</w:t>
      </w:r>
    </w:p>
    <w:p>
      <w:pPr>
        <w:spacing w:after="140" w:line="300"/>
      </w:pPr>
      <w:r>
        <w:rPr>
          <w:rFonts w:ascii="Arial" w:cs="Arial" w:eastAsia="Arial" w:hAnsi="Arial"/>
        </w:rPr>
        <w:t xml:space="preserve">La matriz de Ansoff permite reflexionar sobre las capacidades de la empresa y la permeabilidad del mercado para elegir la estrategia de crecimiento.</w:t>
      </w:r>
    </w:p>
    <w:p>
      <w:pPr>
        <w:spacing w:after="160" w:before="80"/>
        <w:jc w:val="center"/>
      </w:pPr>
      <w:r>
        <w:drawing>
          <wp:inline distT="0" distB="0" distL="0" distR="0">
            <wp:extent cx="4476750" cy="2771775"/>
            <wp:effectExtent t="0" r="0" b="0" l="0"/>
            <wp:docPr id="1" name="image1.png" descr="image1.png" titl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476750" cy="2771775"/>
                    </a:xfrm>
                    <a:prstGeom prst="rect">
                      <a:avLst/>
                    </a:prstGeom>
                  </pic:spPr>
                </pic:pic>
              </a:graphicData>
            </a:graphic>
          </wp:inline>
        </w:drawing>
      </w:r>
    </w:p>
    <w:p>
      <w:pPr>
        <w:spacing w:after="140" w:line="300"/>
      </w:pPr>
      <w:r>
        <w:rPr>
          <w:rFonts w:ascii="Arial" w:cs="Arial" w:eastAsia="Arial" w:hAnsi="Arial"/>
          <w:b/>
          <w:bCs/>
        </w:rPr>
        <w:t xml:space="preserve">Estrategia elegida: desarrollo de producto</w:t>
      </w:r>
      <w:r>
        <w:rPr>
          <w:rFonts w:ascii="Arial" w:cs="Arial" w:eastAsia="Arial" w:hAnsi="Arial"/>
        </w:rPr>
        <w:t xml:space="preserve">, es decir, lanzar un producto nuevo en el mercado existente. El producto nuevo es una carta de 10 tragos de autor de café frío para el verano.</w:t>
      </w:r>
    </w:p>
    <w:p>
      <w:pPr>
        <w:pStyle w:val="ListParagraph"/>
        <w:numPr>
          <w:ilvl w:val="0"/>
          <w:numId w:val="2"/>
        </w:numPr>
        <w:spacing w:after="100" w:line="300"/>
      </w:pPr>
      <w:r>
        <w:rPr>
          <w:rFonts w:ascii="Arial" w:cs="Arial" w:eastAsia="Arial" w:hAnsi="Arial"/>
          <w:b/>
          <w:bCs/>
        </w:rPr>
        <w:t xml:space="preserve">Por qué no penetración de mercado.</w:t>
      </w:r>
      <w:r>
        <w:rPr>
          <w:rFonts w:ascii="Arial" w:cs="Arial" w:eastAsia="Arial" w:hAnsi="Arial"/>
        </w:rPr>
        <w:t xml:space="preserve"> En verano el mercado actual de SAUCO se achica por la temporada baja. Vender más de lo mismo al mismo cliente tiene poco para ganar: hace falta un motivo nuevo para consumir.</w:t>
      </w:r>
    </w:p>
    <w:p>
      <w:pPr>
        <w:pStyle w:val="ListParagraph"/>
        <w:numPr>
          <w:ilvl w:val="0"/>
          <w:numId w:val="2"/>
        </w:numPr>
        <w:spacing w:after="100" w:line="300"/>
      </w:pPr>
      <w:r>
        <w:rPr>
          <w:rFonts w:ascii="Arial" w:cs="Arial" w:eastAsia="Arial" w:hAnsi="Arial"/>
          <w:b/>
          <w:bCs/>
        </w:rPr>
        <w:t xml:space="preserve">Capacidades.</w:t>
      </w:r>
      <w:r>
        <w:rPr>
          <w:rFonts w:ascii="Arial" w:cs="Arial" w:eastAsia="Arial" w:hAnsi="Arial"/>
        </w:rPr>
        <w:t xml:space="preserve"> SAUCO ya prepara café con distintos métodos y cuenta con el equipo. Como compra todo elaborado, la carta se puede armar con ingredientes ya listos, con poca inversión y sin cocina propia.</w:t>
      </w:r>
    </w:p>
    <w:p>
      <w:pPr>
        <w:pStyle w:val="ListParagraph"/>
        <w:numPr>
          <w:ilvl w:val="0"/>
          <w:numId w:val="2"/>
        </w:numPr>
        <w:spacing w:after="100" w:line="300"/>
      </w:pPr>
      <w:r>
        <w:rPr>
          <w:rFonts w:ascii="Arial" w:cs="Arial" w:eastAsia="Arial" w:hAnsi="Arial"/>
          <w:b/>
          <w:bCs/>
        </w:rPr>
        <w:t xml:space="preserve">Permeabilidad del mercado.</w:t>
      </w:r>
      <w:r>
        <w:rPr>
          <w:rFonts w:ascii="Arial" w:cs="Arial" w:eastAsia="Arial" w:hAnsi="Arial"/>
        </w:rPr>
        <w:t xml:space="preserve"> El público joven y de oficinas ya consume en la zona, que además tiene bares alrededor: es un mercado acostumbrado a salir a tomar algo.</w:t>
      </w:r>
    </w:p>
    <w:p>
      <w:pPr>
        <w:pStyle w:val="Heading1"/>
      </w:pPr>
      <w:r>
        <w:rPr>
          <w:rFonts w:ascii="Arial" w:cs="Arial" w:eastAsia="Arial" w:hAnsi="Arial"/>
        </w:rPr>
        <w:t xml:space="preserve">3. Cruz de Porter</w:t>
      </w:r>
    </w:p>
    <w:p>
      <w:pPr>
        <w:spacing w:after="140" w:line="300"/>
      </w:pPr>
      <w:r>
        <w:rPr>
          <w:rFonts w:ascii="Arial" w:cs="Arial" w:eastAsia="Arial" w:hAnsi="Arial"/>
        </w:rPr>
        <w:t xml:space="preserve">Análisis de las cinco fuerzas aplicado al mercado de la carta de café frío de autor. Cada fuerza se puntúa de 0 a 5 (5 = fuerza muy alta).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900"/>
        <w:gridCol w:w="5626"/>
      </w:tblGrid>
      <w:tr>
        <w:trPr>
          <w:tblHeader/>
        </w:trPr>
        <w:tc>
          <w:tcPr>
            <w:tcW w:type="dxa" w:w="2500"/>
            <w:tcBorders>
              <w:top w:val="single" w:color="BFC7D5" w:sz="4"/>
              <w:left w:val="single" w:color="BFC7D5" w:sz="4"/>
              <w:bottom w:val="single" w:color="BFC7D5" w:sz="4"/>
              <w:right w:val="single" w:color="BFC7D5" w:sz="4"/>
            </w:tcBorders>
            <w:shd w:fill="1F3864" w:color="auto" w:val="clear"/>
            <w:tcMar>
              <w:top w:type="dxa" w:w="80"/>
              <w:left w:type="dxa" w:w="120"/>
              <w:bottom w:type="dxa" w:w="80"/>
              <w:right w:type="dxa" w:w="120"/>
            </w:tcMar>
            <w:vAlign w:val="center"/>
          </w:tcPr>
          <w:p>
            <w:pPr>
              <w:jc w:val="left"/>
            </w:pPr>
            <w:r>
              <w:rPr>
                <w:rFonts w:ascii="Arial" w:cs="Arial" w:eastAsia="Arial" w:hAnsi="Arial"/>
                <w:b/>
                <w:bCs/>
                <w:color w:val="FFFFFF"/>
                <w:sz w:val="21"/>
                <w:szCs w:val="21"/>
              </w:rPr>
              <w:t xml:space="preserve">Fuerza</w:t>
            </w:r>
          </w:p>
        </w:tc>
        <w:tc>
          <w:tcPr>
            <w:tcW w:type="dxa" w:w="900"/>
            <w:tcBorders>
              <w:top w:val="single" w:color="BFC7D5" w:sz="4"/>
              <w:left w:val="single" w:color="BFC7D5" w:sz="4"/>
              <w:bottom w:val="single" w:color="BFC7D5" w:sz="4"/>
              <w:right w:val="single" w:color="BFC7D5" w:sz="4"/>
            </w:tcBorders>
            <w:shd w:fill="1F3864" w:color="auto" w:val="clear"/>
            <w:tcMar>
              <w:top w:type="dxa" w:w="80"/>
              <w:left w:type="dxa" w:w="120"/>
              <w:bottom w:type="dxa" w:w="80"/>
              <w:right w:type="dxa" w:w="120"/>
            </w:tcMar>
            <w:vAlign w:val="center"/>
          </w:tcPr>
          <w:p>
            <w:pPr>
              <w:jc w:val="center"/>
            </w:pPr>
            <w:r>
              <w:rPr>
                <w:rFonts w:ascii="Arial" w:cs="Arial" w:eastAsia="Arial" w:hAnsi="Arial"/>
                <w:b/>
                <w:bCs/>
                <w:color w:val="FFFFFF"/>
                <w:sz w:val="21"/>
                <w:szCs w:val="21"/>
              </w:rPr>
              <w:t xml:space="preserve">Puntaje</w:t>
            </w:r>
          </w:p>
        </w:tc>
        <w:tc>
          <w:tcPr>
            <w:tcW w:type="dxa" w:w="5626"/>
            <w:tcBorders>
              <w:top w:val="single" w:color="BFC7D5" w:sz="4"/>
              <w:left w:val="single" w:color="BFC7D5" w:sz="4"/>
              <w:bottom w:val="single" w:color="BFC7D5" w:sz="4"/>
              <w:right w:val="single" w:color="BFC7D5" w:sz="4"/>
            </w:tcBorders>
            <w:shd w:fill="1F3864" w:color="auto" w:val="clear"/>
            <w:tcMar>
              <w:top w:type="dxa" w:w="80"/>
              <w:left w:type="dxa" w:w="120"/>
              <w:bottom w:type="dxa" w:w="80"/>
              <w:right w:type="dxa" w:w="120"/>
            </w:tcMar>
            <w:vAlign w:val="center"/>
          </w:tcPr>
          <w:p>
            <w:pPr>
              <w:jc w:val="center"/>
            </w:pPr>
            <w:r>
              <w:rPr>
                <w:rFonts w:ascii="Arial" w:cs="Arial" w:eastAsia="Arial" w:hAnsi="Arial"/>
                <w:b/>
                <w:bCs/>
                <w:color w:val="FFFFFF"/>
                <w:sz w:val="21"/>
                <w:szCs w:val="21"/>
              </w:rPr>
              <w:t xml:space="preserve">Justificación</w:t>
            </w:r>
          </w:p>
        </w:tc>
      </w:tr>
      <w:tr>
        <w:tc>
          <w:tcPr>
            <w:tcW w:type="dxa" w:w="2500"/>
            <w:tcBorders>
              <w:top w:val="single" w:color="BFC7D5" w:sz="4"/>
              <w:left w:val="single" w:color="BFC7D5" w:sz="4"/>
              <w:bottom w:val="single" w:color="BFC7D5" w:sz="4"/>
              <w:right w:val="single" w:color="BFC7D5" w:sz="4"/>
            </w:tcBorders>
            <w:tcMar>
              <w:top w:type="dxa" w:w="80"/>
              <w:left w:type="dxa" w:w="120"/>
              <w:bottom w:type="dxa" w:w="80"/>
              <w:right w:type="dxa" w:w="120"/>
            </w:tcMar>
            <w:vAlign w:val="center"/>
          </w:tcPr>
          <w:p>
            <w:pPr>
              <w:jc w:val="left"/>
            </w:pPr>
            <w:r>
              <w:rPr>
                <w:rFonts w:ascii="Arial" w:cs="Arial" w:eastAsia="Arial" w:hAnsi="Arial"/>
                <w:sz w:val="21"/>
                <w:szCs w:val="21"/>
              </w:rPr>
              <w:t xml:space="preserve">Intensidad de la rivalidad competitiva</w:t>
            </w:r>
          </w:p>
        </w:tc>
        <w:tc>
          <w:tcPr>
            <w:tcW w:type="dxa" w:w="900"/>
            <w:tcBorders>
              <w:top w:val="single" w:color="BFC7D5" w:sz="4"/>
              <w:left w:val="single" w:color="BFC7D5" w:sz="4"/>
              <w:bottom w:val="single" w:color="BFC7D5" w:sz="4"/>
              <w:right w:val="single" w:color="BFC7D5" w:sz="4"/>
            </w:tcBorders>
            <w:tcMar>
              <w:top w:type="dxa" w:w="80"/>
              <w:left w:type="dxa" w:w="120"/>
              <w:bottom w:type="dxa" w:w="80"/>
              <w:right w:type="dxa" w:w="120"/>
            </w:tcMar>
            <w:vAlign w:val="center"/>
          </w:tcPr>
          <w:p>
            <w:pPr>
              <w:jc w:val="center"/>
            </w:pPr>
            <w:r>
              <w:rPr>
                <w:rFonts w:ascii="Arial" w:cs="Arial" w:eastAsia="Arial" w:hAnsi="Arial"/>
                <w:sz w:val="21"/>
                <w:szCs w:val="21"/>
              </w:rPr>
              <w:t xml:space="preserve">4 </w:t>
            </w:r>
            <w:r>
              <w:rPr>
                <w:rFonts w:ascii="Arial" w:cs="Arial" w:eastAsia="Arial" w:hAnsi="Arial"/>
                <w:sz w:val="21"/>
                <w:szCs w:val="21"/>
                <w:highlight w:val="yellow"/>
              </w:rPr>
              <w:t xml:space="preserve">[confirmar]</w:t>
            </w:r>
          </w:p>
        </w:tc>
        <w:tc>
          <w:tcPr>
            <w:tcW w:type="dxa" w:w="5626"/>
            <w:tcBorders>
              <w:top w:val="single" w:color="BFC7D5" w:sz="4"/>
              <w:left w:val="single" w:color="BFC7D5" w:sz="4"/>
              <w:bottom w:val="single" w:color="BFC7D5" w:sz="4"/>
              <w:right w:val="single" w:color="BFC7D5" w:sz="4"/>
            </w:tcBorders>
            <w:tcMar>
              <w:top w:type="dxa" w:w="80"/>
              <w:left w:type="dxa" w:w="120"/>
              <w:bottom w:type="dxa" w:w="80"/>
              <w:right w:type="dxa" w:w="120"/>
            </w:tcMar>
            <w:vAlign w:val="center"/>
          </w:tcPr>
          <w:p>
            <w:pPr>
              <w:jc w:val="left"/>
            </w:pPr>
            <w:r>
              <w:rPr>
                <w:rFonts w:ascii="Arial" w:cs="Arial" w:eastAsia="Arial" w:hAnsi="Arial"/>
                <w:sz w:val="21"/>
                <w:szCs w:val="21"/>
              </w:rPr>
              <w:t xml:space="preserve">Hay cafeterías cercanas que ofrecen productos similares: a 4 cuadras están Culto y Patrimonio, la competencia directa. </w:t>
            </w:r>
            <w:r>
              <w:rPr>
                <w:rFonts w:ascii="Arial" w:cs="Arial" w:eastAsia="Arial" w:hAnsi="Arial"/>
                <w:sz w:val="21"/>
                <w:szCs w:val="21"/>
                <w:highlight w:val="yellow"/>
              </w:rPr>
              <w:t xml:space="preserve">[Completar: además hay bares alrededor y, en verano, hay menos clientes para repartir.]</w:t>
            </w:r>
          </w:p>
        </w:tc>
      </w:tr>
      <w:tr>
        <w:tc>
          <w:tcPr>
            <w:tcW w:type="dxa" w:w="2500"/>
            <w:tcBorders>
              <w:top w:val="single" w:color="BFC7D5" w:sz="4"/>
              <w:left w:val="single" w:color="BFC7D5" w:sz="4"/>
              <w:bottom w:val="single" w:color="BFC7D5" w:sz="4"/>
              <w:right w:val="single" w:color="BFC7D5" w:sz="4"/>
            </w:tcBorders>
            <w:shd w:fill="F3F6FB" w:color="auto" w:val="clear"/>
            <w:tcMar>
              <w:top w:type="dxa" w:w="80"/>
              <w:left w:type="dxa" w:w="120"/>
              <w:bottom w:type="dxa" w:w="80"/>
              <w:right w:type="dxa" w:w="120"/>
            </w:tcMar>
            <w:vAlign w:val="center"/>
          </w:tcPr>
          <w:p>
            <w:pPr>
              <w:jc w:val="left"/>
            </w:pPr>
            <w:r>
              <w:rPr>
                <w:rFonts w:ascii="Arial" w:cs="Arial" w:eastAsia="Arial" w:hAnsi="Arial"/>
                <w:sz w:val="21"/>
                <w:szCs w:val="21"/>
              </w:rPr>
              <w:t xml:space="preserve">Amenaza de nuevos competidores</w:t>
            </w:r>
          </w:p>
        </w:tc>
        <w:tc>
          <w:tcPr>
            <w:tcW w:type="dxa" w:w="900"/>
            <w:tcBorders>
              <w:top w:val="single" w:color="BFC7D5" w:sz="4"/>
              <w:left w:val="single" w:color="BFC7D5" w:sz="4"/>
              <w:bottom w:val="single" w:color="BFC7D5" w:sz="4"/>
              <w:right w:val="single" w:color="BFC7D5" w:sz="4"/>
            </w:tcBorders>
            <w:shd w:fill="F3F6FB" w:color="auto" w:val="clear"/>
            <w:tcMar>
              <w:top w:type="dxa" w:w="80"/>
              <w:left w:type="dxa" w:w="120"/>
              <w:bottom w:type="dxa" w:w="80"/>
              <w:right w:type="dxa" w:w="120"/>
            </w:tcMar>
            <w:vAlign w:val="center"/>
          </w:tcPr>
          <w:p>
            <w:pPr>
              <w:jc w:val="center"/>
            </w:pPr>
            <w:r>
              <w:rPr>
                <w:rFonts w:ascii="Arial" w:cs="Arial" w:eastAsia="Arial" w:hAnsi="Arial"/>
                <w:sz w:val="21"/>
                <w:szCs w:val="21"/>
              </w:rPr>
              <w:t xml:space="preserve">4</w:t>
            </w:r>
          </w:p>
        </w:tc>
        <w:tc>
          <w:tcPr>
            <w:tcW w:type="dxa" w:w="5626"/>
            <w:tcBorders>
              <w:top w:val="single" w:color="BFC7D5" w:sz="4"/>
              <w:left w:val="single" w:color="BFC7D5" w:sz="4"/>
              <w:bottom w:val="single" w:color="BFC7D5" w:sz="4"/>
              <w:right w:val="single" w:color="BFC7D5" w:sz="4"/>
            </w:tcBorders>
            <w:shd w:fill="F3F6FB" w:color="auto" w:val="clear"/>
            <w:tcMar>
              <w:top w:type="dxa" w:w="80"/>
              <w:left w:type="dxa" w:w="120"/>
              <w:bottom w:type="dxa" w:w="80"/>
              <w:right w:type="dxa" w:w="120"/>
            </w:tcMar>
            <w:vAlign w:val="center"/>
          </w:tcPr>
          <w:p>
            <w:pPr>
              <w:jc w:val="left"/>
            </w:pPr>
            <w:r>
              <w:rPr>
                <w:rFonts w:ascii="Arial" w:cs="Arial" w:eastAsia="Arial" w:hAnsi="Arial"/>
                <w:sz w:val="21"/>
                <w:szCs w:val="21"/>
              </w:rPr>
              <w:t xml:space="preserve">La barrera de entrada es baja: otras cafeterías pueden ofrecer productos sustitutos o el mismo café de autor.</w:t>
            </w:r>
          </w:p>
        </w:tc>
      </w:tr>
      <w:tr>
        <w:tc>
          <w:tcPr>
            <w:tcW w:type="dxa" w:w="2500"/>
            <w:tcBorders>
              <w:top w:val="single" w:color="BFC7D5" w:sz="4"/>
              <w:left w:val="single" w:color="BFC7D5" w:sz="4"/>
              <w:bottom w:val="single" w:color="BFC7D5" w:sz="4"/>
              <w:right w:val="single" w:color="BFC7D5" w:sz="4"/>
            </w:tcBorders>
            <w:tcMar>
              <w:top w:type="dxa" w:w="80"/>
              <w:left w:type="dxa" w:w="120"/>
              <w:bottom w:type="dxa" w:w="80"/>
              <w:right w:type="dxa" w:w="120"/>
            </w:tcMar>
            <w:vAlign w:val="center"/>
          </w:tcPr>
          <w:p>
            <w:pPr>
              <w:jc w:val="left"/>
            </w:pPr>
            <w:r>
              <w:rPr>
                <w:rFonts w:ascii="Arial" w:cs="Arial" w:eastAsia="Arial" w:hAnsi="Arial"/>
                <w:sz w:val="21"/>
                <w:szCs w:val="21"/>
              </w:rPr>
              <w:t xml:space="preserve">Poder de negociación de los proveedores</w:t>
            </w:r>
          </w:p>
        </w:tc>
        <w:tc>
          <w:tcPr>
            <w:tcW w:type="dxa" w:w="900"/>
            <w:tcBorders>
              <w:top w:val="single" w:color="BFC7D5" w:sz="4"/>
              <w:left w:val="single" w:color="BFC7D5" w:sz="4"/>
              <w:bottom w:val="single" w:color="BFC7D5" w:sz="4"/>
              <w:right w:val="single" w:color="BFC7D5" w:sz="4"/>
            </w:tcBorders>
            <w:tcMar>
              <w:top w:type="dxa" w:w="80"/>
              <w:left w:type="dxa" w:w="120"/>
              <w:bottom w:type="dxa" w:w="80"/>
              <w:right w:type="dxa" w:w="120"/>
            </w:tcMar>
            <w:vAlign w:val="center"/>
          </w:tcPr>
          <w:p>
            <w:pPr>
              <w:jc w:val="center"/>
            </w:pPr>
            <w:r>
              <w:rPr>
                <w:rFonts w:ascii="Arial" w:cs="Arial" w:eastAsia="Arial" w:hAnsi="Arial"/>
                <w:sz w:val="21"/>
                <w:szCs w:val="21"/>
              </w:rPr>
              <w:t xml:space="preserve">2</w:t>
            </w:r>
          </w:p>
        </w:tc>
        <w:tc>
          <w:tcPr>
            <w:tcW w:type="dxa" w:w="5626"/>
            <w:tcBorders>
              <w:top w:val="single" w:color="BFC7D5" w:sz="4"/>
              <w:left w:val="single" w:color="BFC7D5" w:sz="4"/>
              <w:bottom w:val="single" w:color="BFC7D5" w:sz="4"/>
              <w:right w:val="single" w:color="BFC7D5" w:sz="4"/>
            </w:tcBorders>
            <w:tcMar>
              <w:top w:type="dxa" w:w="80"/>
              <w:left w:type="dxa" w:w="120"/>
              <w:bottom w:type="dxa" w:w="80"/>
              <w:right w:type="dxa" w:w="120"/>
            </w:tcMar>
            <w:vAlign w:val="center"/>
          </w:tcPr>
          <w:p>
            <w:pPr>
              <w:jc w:val="left"/>
            </w:pPr>
            <w:r>
              <w:rPr>
                <w:rFonts w:ascii="Arial" w:cs="Arial" w:eastAsia="Arial" w:hAnsi="Arial"/>
                <w:sz w:val="21"/>
                <w:szCs w:val="21"/>
              </w:rPr>
              <w:t xml:space="preserve">SAUCO tiene muchos proveedores: si uno le sube el precio, le compra a otro. </w:t>
            </w:r>
            <w:r>
              <w:rPr>
                <w:rFonts w:ascii="Arial" w:cs="Arial" w:eastAsia="Arial" w:hAnsi="Arial"/>
                <w:sz w:val="21"/>
                <w:szCs w:val="21"/>
                <w:highlight w:val="yellow"/>
              </w:rPr>
              <w:t xml:space="preserve">[Aclarar si pueden cambiar de marca de café sin perder clientes.]</w:t>
            </w:r>
          </w:p>
        </w:tc>
      </w:tr>
      <w:tr>
        <w:tc>
          <w:tcPr>
            <w:tcW w:type="dxa" w:w="2500"/>
            <w:tcBorders>
              <w:top w:val="single" w:color="BFC7D5" w:sz="4"/>
              <w:left w:val="single" w:color="BFC7D5" w:sz="4"/>
              <w:bottom w:val="single" w:color="BFC7D5" w:sz="4"/>
              <w:right w:val="single" w:color="BFC7D5" w:sz="4"/>
            </w:tcBorders>
            <w:shd w:fill="F3F6FB" w:color="auto" w:val="clear"/>
            <w:tcMar>
              <w:top w:type="dxa" w:w="80"/>
              <w:left w:type="dxa" w:w="120"/>
              <w:bottom w:type="dxa" w:w="80"/>
              <w:right w:type="dxa" w:w="120"/>
            </w:tcMar>
            <w:vAlign w:val="center"/>
          </w:tcPr>
          <w:p>
            <w:pPr>
              <w:jc w:val="left"/>
            </w:pPr>
            <w:r>
              <w:rPr>
                <w:rFonts w:ascii="Arial" w:cs="Arial" w:eastAsia="Arial" w:hAnsi="Arial"/>
                <w:sz w:val="21"/>
                <w:szCs w:val="21"/>
              </w:rPr>
              <w:t xml:space="preserve">Amenaza de productos sustitutos</w:t>
            </w:r>
          </w:p>
        </w:tc>
        <w:tc>
          <w:tcPr>
            <w:tcW w:type="dxa" w:w="900"/>
            <w:tcBorders>
              <w:top w:val="single" w:color="BFC7D5" w:sz="4"/>
              <w:left w:val="single" w:color="BFC7D5" w:sz="4"/>
              <w:bottom w:val="single" w:color="BFC7D5" w:sz="4"/>
              <w:right w:val="single" w:color="BFC7D5" w:sz="4"/>
            </w:tcBorders>
            <w:shd w:fill="F3F6FB" w:color="auto" w:val="clear"/>
            <w:tcMar>
              <w:top w:type="dxa" w:w="80"/>
              <w:left w:type="dxa" w:w="120"/>
              <w:bottom w:type="dxa" w:w="80"/>
              <w:right w:type="dxa" w:w="120"/>
            </w:tcMar>
            <w:vAlign w:val="center"/>
          </w:tcPr>
          <w:p>
            <w:pPr>
              <w:jc w:val="center"/>
            </w:pPr>
            <w:r>
              <w:rPr>
                <w:rFonts w:ascii="Arial" w:cs="Arial" w:eastAsia="Arial" w:hAnsi="Arial"/>
                <w:sz w:val="21"/>
                <w:szCs w:val="21"/>
              </w:rPr>
              <w:t xml:space="preserve">4</w:t>
            </w:r>
          </w:p>
        </w:tc>
        <w:tc>
          <w:tcPr>
            <w:tcW w:type="dxa" w:w="5626"/>
            <w:tcBorders>
              <w:top w:val="single" w:color="BFC7D5" w:sz="4"/>
              <w:left w:val="single" w:color="BFC7D5" w:sz="4"/>
              <w:bottom w:val="single" w:color="BFC7D5" w:sz="4"/>
              <w:right w:val="single" w:color="BFC7D5" w:sz="4"/>
            </w:tcBorders>
            <w:shd w:fill="F3F6FB" w:color="auto" w:val="clear"/>
            <w:tcMar>
              <w:top w:type="dxa" w:w="80"/>
              <w:left w:type="dxa" w:w="120"/>
              <w:bottom w:type="dxa" w:w="80"/>
              <w:right w:type="dxa" w:w="120"/>
            </w:tcMar>
            <w:vAlign w:val="center"/>
          </w:tcPr>
          <w:p>
            <w:pPr>
              <w:jc w:val="left"/>
            </w:pPr>
            <w:r>
              <w:rPr>
                <w:rFonts w:ascii="Arial" w:cs="Arial" w:eastAsia="Arial" w:hAnsi="Arial"/>
                <w:sz w:val="21"/>
                <w:szCs w:val="21"/>
              </w:rPr>
              <w:t xml:space="preserve">En verano hay muchas opciones que refrescan, como helado, licuados, jugos naturales y bebidas alcohólicas como la cerveza, y cambiar de una a otra no le cuesta nada al cliente. No llega a 5 porque el café de autor ofrece algo que esos no tienen.</w:t>
            </w:r>
          </w:p>
        </w:tc>
      </w:tr>
      <w:tr>
        <w:tc>
          <w:tcPr>
            <w:tcW w:type="dxa" w:w="2500"/>
            <w:tcBorders>
              <w:top w:val="single" w:color="BFC7D5" w:sz="4"/>
              <w:left w:val="single" w:color="BFC7D5" w:sz="4"/>
              <w:bottom w:val="single" w:color="BFC7D5" w:sz="4"/>
              <w:right w:val="single" w:color="BFC7D5" w:sz="4"/>
            </w:tcBorders>
            <w:tcMar>
              <w:top w:type="dxa" w:w="80"/>
              <w:left w:type="dxa" w:w="120"/>
              <w:bottom w:type="dxa" w:w="80"/>
              <w:right w:type="dxa" w:w="120"/>
            </w:tcMar>
            <w:vAlign w:val="center"/>
          </w:tcPr>
          <w:p>
            <w:pPr>
              <w:jc w:val="left"/>
            </w:pPr>
            <w:r>
              <w:rPr>
                <w:rFonts w:ascii="Arial" w:cs="Arial" w:eastAsia="Arial" w:hAnsi="Arial"/>
                <w:sz w:val="21"/>
                <w:szCs w:val="21"/>
              </w:rPr>
              <w:t xml:space="preserve">Poder de negociación de los clientes</w:t>
            </w:r>
          </w:p>
        </w:tc>
        <w:tc>
          <w:tcPr>
            <w:tcW w:type="dxa" w:w="900"/>
            <w:tcBorders>
              <w:top w:val="single" w:color="BFC7D5" w:sz="4"/>
              <w:left w:val="single" w:color="BFC7D5" w:sz="4"/>
              <w:bottom w:val="single" w:color="BFC7D5" w:sz="4"/>
              <w:right w:val="single" w:color="BFC7D5" w:sz="4"/>
            </w:tcBorders>
            <w:tcMar>
              <w:top w:type="dxa" w:w="80"/>
              <w:left w:type="dxa" w:w="120"/>
              <w:bottom w:type="dxa" w:w="80"/>
              <w:right w:type="dxa" w:w="120"/>
            </w:tcMar>
            <w:vAlign w:val="center"/>
          </w:tcPr>
          <w:p>
            <w:pPr>
              <w:jc w:val="center"/>
            </w:pPr>
            <w:r>
              <w:rPr>
                <w:rFonts w:ascii="Arial" w:cs="Arial" w:eastAsia="Arial" w:hAnsi="Arial"/>
                <w:sz w:val="21"/>
                <w:szCs w:val="21"/>
              </w:rPr>
              <w:t xml:space="preserve">2</w:t>
            </w:r>
          </w:p>
        </w:tc>
        <w:tc>
          <w:tcPr>
            <w:tcW w:type="dxa" w:w="5626"/>
            <w:tcBorders>
              <w:top w:val="single" w:color="BFC7D5" w:sz="4"/>
              <w:left w:val="single" w:color="BFC7D5" w:sz="4"/>
              <w:bottom w:val="single" w:color="BFC7D5" w:sz="4"/>
              <w:right w:val="single" w:color="BFC7D5" w:sz="4"/>
            </w:tcBorders>
            <w:tcMar>
              <w:top w:type="dxa" w:w="80"/>
              <w:left w:type="dxa" w:w="120"/>
              <w:bottom w:type="dxa" w:w="80"/>
              <w:right w:type="dxa" w:w="120"/>
            </w:tcMar>
            <w:vAlign w:val="center"/>
          </w:tcPr>
          <w:p>
            <w:pPr>
              <w:jc w:val="left"/>
            </w:pPr>
            <w:r>
              <w:rPr>
                <w:rFonts w:ascii="Arial" w:cs="Arial" w:eastAsia="Arial" w:hAnsi="Arial"/>
                <w:sz w:val="21"/>
                <w:szCs w:val="21"/>
              </w:rPr>
              <w:t xml:space="preserve">Los tragos de café frío de autor son productos únicos, que no se consiguen en otro lado: el cliente no tiene con quién comparar ni adónde ir a pedir lo mismo. </w:t>
            </w:r>
            <w:r>
              <w:rPr>
                <w:rFonts w:ascii="Arial" w:cs="Arial" w:eastAsia="Arial" w:hAnsi="Arial"/>
                <w:sz w:val="21"/>
                <w:szCs w:val="21"/>
                <w:highlight w:val="yellow"/>
              </w:rPr>
              <w:t xml:space="preserve">[Agregar que se revisaron las cartas de Culto, Patrimonio y los bares de la zona.]</w:t>
            </w:r>
          </w:p>
        </w:tc>
      </w:tr>
    </w:tbl>
    <w:p>
      <w:pPr>
        <w:spacing w:after="160"/>
      </w:pPr>
    </w:p>
    <w:p>
      <w:pPr>
        <w:spacing w:after="160" w:before="80"/>
        <w:jc w:val="center"/>
      </w:pPr>
      <w:r>
        <w:drawing>
          <wp:inline distT="0" distB="0" distL="0" distR="0">
            <wp:extent cx="5715000" cy="3810000"/>
            <wp:effectExtent t="0" r="0" b="0" l="0"/>
            <wp:docPr id="2" name="radar_final.png" descr="radar_final.png" title="radar_fin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810000"/>
                    </a:xfrm>
                    <a:prstGeom prst="rect">
                      <a:avLst/>
                    </a:prstGeom>
                  </pic:spPr>
                </pic:pic>
              </a:graphicData>
            </a:graphic>
          </wp:inline>
        </w:drawing>
      </w:r>
    </w:p>
    <w:p>
      <w:pPr>
        <w:spacing w:after="140" w:line="300"/>
      </w:pPr>
      <w:r>
        <w:rPr>
          <w:rFonts w:ascii="Arial" w:cs="Arial" w:eastAsia="Arial" w:hAnsi="Arial"/>
          <w:highlight w:val="yellow"/>
        </w:rPr>
        <w:t xml:space="preserve">[Propuesta para revisar]</w:t>
      </w:r>
      <w:r>
        <w:rPr>
          <w:rFonts w:ascii="Arial" w:cs="Arial" w:eastAsia="Arial" w:hAnsi="Arial"/>
        </w:rPr>
        <w:t xml:space="preserve"> Las amenazas más altas son los sustitutos y los nuevos competidores. La ventaja de ofrecer un producto único es real pero temporal, porque una carta de tragos se copia fácil; lo que la protege es la marca y el trabajo del barista.</w:t>
      </w:r>
    </w:p>
    <w:p>
      <w:pPr>
        <w:pStyle w:val="Heading1"/>
      </w:pPr>
      <w:r>
        <w:rPr>
          <w:rFonts w:ascii="Arial" w:cs="Arial" w:eastAsia="Arial" w:hAnsi="Arial"/>
        </w:rPr>
        <w:t xml:space="preserve">4. Growth Roadmap</w:t>
      </w:r>
    </w:p>
    <w:p>
      <w:pPr>
        <w:pStyle w:val="Heading2"/>
      </w:pPr>
      <w:r>
        <w:rPr>
          <w:rFonts w:ascii="Arial" w:cs="Arial" w:eastAsia="Arial" w:hAnsi="Arial"/>
        </w:rPr>
        <w:t xml:space="preserve">Paso 1. Definición del mercado</w:t>
      </w:r>
    </w:p>
    <w:p>
      <w:pPr>
        <w:spacing w:after="140" w:line="300"/>
      </w:pPr>
      <w:r>
        <w:rPr>
          <w:rFonts w:ascii="Arial" w:cs="Arial" w:eastAsia="Arial" w:hAnsi="Arial"/>
        </w:rPr>
        <w:t xml:space="preserve">La descripción de SAUCO está en la sección 1. Acá se define en qué mercado compite la estrategia.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BFC7D5" w:sz="4"/>
              <w:left w:val="single" w:color="BFC7D5" w:sz="4"/>
              <w:bottom w:val="single" w:color="BFC7D5" w:sz="4"/>
              <w:right w:val="single" w:color="BFC7D5" w:sz="4"/>
            </w:tcBorders>
            <w:shd w:fill="1F3864" w:color="auto" w:val="clear"/>
            <w:tcMar>
              <w:top w:type="dxa" w:w="80"/>
              <w:left w:type="dxa" w:w="120"/>
              <w:bottom w:type="dxa" w:w="80"/>
              <w:right w:type="dxa" w:w="120"/>
            </w:tcMar>
            <w:vAlign w:val="center"/>
          </w:tcPr>
          <w:p>
            <w:pPr>
              <w:jc w:val="left"/>
            </w:pPr>
            <w:r>
              <w:rPr>
                <w:rFonts w:ascii="Arial" w:cs="Arial" w:eastAsia="Arial" w:hAnsi="Arial"/>
                <w:b/>
                <w:bCs/>
                <w:color w:val="FFFFFF"/>
                <w:sz w:val="21"/>
                <w:szCs w:val="21"/>
              </w:rPr>
              <w:t xml:space="preserve">Elemento</w:t>
            </w:r>
          </w:p>
        </w:tc>
        <w:tc>
          <w:tcPr>
            <w:tcW w:type="dxa" w:w="6826"/>
            <w:tcBorders>
              <w:top w:val="single" w:color="BFC7D5" w:sz="4"/>
              <w:left w:val="single" w:color="BFC7D5" w:sz="4"/>
              <w:bottom w:val="single" w:color="BFC7D5" w:sz="4"/>
              <w:right w:val="single" w:color="BFC7D5" w:sz="4"/>
            </w:tcBorders>
            <w:shd w:fill="1F3864" w:color="auto" w:val="clear"/>
            <w:tcMar>
              <w:top w:type="dxa" w:w="80"/>
              <w:left w:type="dxa" w:w="120"/>
              <w:bottom w:type="dxa" w:w="80"/>
              <w:right w:type="dxa" w:w="120"/>
            </w:tcMar>
            <w:vAlign w:val="center"/>
          </w:tcPr>
          <w:p>
            <w:pPr>
              <w:jc w:val="left"/>
            </w:pPr>
            <w:r>
              <w:rPr>
                <w:rFonts w:ascii="Arial" w:cs="Arial" w:eastAsia="Arial" w:hAnsi="Arial"/>
                <w:b/>
                <w:bCs/>
                <w:color w:val="FFFFFF"/>
                <w:sz w:val="21"/>
                <w:szCs w:val="21"/>
              </w:rPr>
              <w:t xml:space="preserve">Definición</w:t>
            </w:r>
          </w:p>
        </w:tc>
      </w:tr>
      <w:tr>
        <w:tc>
          <w:tcPr>
            <w:tcW w:type="dxa" w:w="2200"/>
            <w:tcBorders>
              <w:top w:val="single" w:color="BFC7D5" w:sz="4"/>
              <w:left w:val="single" w:color="BFC7D5" w:sz="4"/>
              <w:bottom w:val="single" w:color="BFC7D5" w:sz="4"/>
              <w:right w:val="single" w:color="BFC7D5" w:sz="4"/>
            </w:tcBorders>
            <w:tcMar>
              <w:top w:type="dxa" w:w="80"/>
              <w:left w:type="dxa" w:w="120"/>
              <w:bottom w:type="dxa" w:w="80"/>
              <w:right w:type="dxa" w:w="120"/>
            </w:tcMar>
            <w:vAlign w:val="center"/>
          </w:tcPr>
          <w:p>
            <w:pPr>
              <w:jc w:val="left"/>
            </w:pPr>
            <w:r>
              <w:rPr>
                <w:rFonts w:ascii="Arial" w:cs="Arial" w:eastAsia="Arial" w:hAnsi="Arial"/>
                <w:sz w:val="21"/>
                <w:szCs w:val="21"/>
              </w:rPr>
              <w:t xml:space="preserve">Mercado</w:t>
            </w:r>
          </w:p>
        </w:tc>
        <w:tc>
          <w:tcPr>
            <w:tcW w:type="dxa" w:w="6826"/>
            <w:tcBorders>
              <w:top w:val="single" w:color="BFC7D5" w:sz="4"/>
              <w:left w:val="single" w:color="BFC7D5" w:sz="4"/>
              <w:bottom w:val="single" w:color="BFC7D5" w:sz="4"/>
              <w:right w:val="single" w:color="BFC7D5" w:sz="4"/>
            </w:tcBorders>
            <w:tcMar>
              <w:top w:type="dxa" w:w="80"/>
              <w:left w:type="dxa" w:w="120"/>
              <w:bottom w:type="dxa" w:w="80"/>
              <w:right w:type="dxa" w:w="120"/>
            </w:tcMar>
            <w:vAlign w:val="center"/>
          </w:tcPr>
          <w:p>
            <w:pPr>
              <w:jc w:val="left"/>
            </w:pPr>
            <w:r>
              <w:rPr>
                <w:rFonts w:ascii="Arial" w:cs="Arial" w:eastAsia="Arial" w:hAnsi="Arial"/>
                <w:sz w:val="21"/>
                <w:szCs w:val="21"/>
              </w:rPr>
              <w:t xml:space="preserve">Consumo de </w:t>
            </w:r>
            <w:r>
              <w:rPr>
                <w:rFonts w:ascii="Arial" w:cs="Arial" w:eastAsia="Arial" w:hAnsi="Arial"/>
                <w:b/>
                <w:bCs/>
                <w:sz w:val="21"/>
                <w:szCs w:val="21"/>
              </w:rPr>
              <w:t xml:space="preserve">café fuera de casa</w:t>
            </w:r>
            <w:r>
              <w:rPr>
                <w:rFonts w:ascii="Arial" w:cs="Arial" w:eastAsia="Arial" w:hAnsi="Arial"/>
                <w:sz w:val="21"/>
                <w:szCs w:val="21"/>
              </w:rPr>
              <w:t xml:space="preserve">. Los helados, licuados, jugos naturales y bebidas alcohólicas como la cerveza se consideran productos sustitutos (ver Porter).</w:t>
            </w:r>
          </w:p>
        </w:tc>
      </w:tr>
      <w:tr>
        <w:tc>
          <w:tcPr>
            <w:tcW w:type="dxa" w:w="2200"/>
            <w:tcBorders>
              <w:top w:val="single" w:color="BFC7D5" w:sz="4"/>
              <w:left w:val="single" w:color="BFC7D5" w:sz="4"/>
              <w:bottom w:val="single" w:color="BFC7D5" w:sz="4"/>
              <w:right w:val="single" w:color="BFC7D5" w:sz="4"/>
            </w:tcBorders>
            <w:shd w:fill="F3F6FB" w:color="auto" w:val="clear"/>
            <w:tcMar>
              <w:top w:type="dxa" w:w="80"/>
              <w:left w:type="dxa" w:w="120"/>
              <w:bottom w:type="dxa" w:w="80"/>
              <w:right w:type="dxa" w:w="120"/>
            </w:tcMar>
            <w:vAlign w:val="center"/>
          </w:tcPr>
          <w:p>
            <w:pPr>
              <w:jc w:val="left"/>
            </w:pPr>
            <w:r>
              <w:rPr>
                <w:rFonts w:ascii="Arial" w:cs="Arial" w:eastAsia="Arial" w:hAnsi="Arial"/>
                <w:sz w:val="21"/>
                <w:szCs w:val="21"/>
              </w:rPr>
              <w:t xml:space="preserve">Clientes</w:t>
            </w:r>
          </w:p>
        </w:tc>
        <w:tc>
          <w:tcPr>
            <w:tcW w:type="dxa" w:w="6826"/>
            <w:tcBorders>
              <w:top w:val="single" w:color="BFC7D5" w:sz="4"/>
              <w:left w:val="single" w:color="BFC7D5" w:sz="4"/>
              <w:bottom w:val="single" w:color="BFC7D5" w:sz="4"/>
              <w:right w:val="single" w:color="BFC7D5" w:sz="4"/>
            </w:tcBorders>
            <w:shd w:fill="F3F6FB" w:color="auto" w:val="clear"/>
            <w:tcMar>
              <w:top w:type="dxa" w:w="80"/>
              <w:left w:type="dxa" w:w="120"/>
              <w:bottom w:type="dxa" w:w="80"/>
              <w:right w:type="dxa" w:w="120"/>
            </w:tcMar>
            <w:vAlign w:val="center"/>
          </w:tcPr>
          <w:p>
            <w:pPr>
              <w:jc w:val="left"/>
            </w:pPr>
            <w:r>
              <w:rPr>
                <w:rFonts w:ascii="Arial" w:cs="Arial" w:eastAsia="Arial" w:hAnsi="Arial"/>
                <w:sz w:val="21"/>
                <w:szCs w:val="21"/>
              </w:rPr>
              <w:t xml:space="preserve">Jóvenes de distintos perfiles (la zona tiene bares alrededor) y también personas de mayor edad. Durante el día hay además movimiento de oficinas.</w:t>
            </w:r>
          </w:p>
        </w:tc>
      </w:tr>
      <w:tr>
        <w:tc>
          <w:tcPr>
            <w:tcW w:type="dxa" w:w="2200"/>
            <w:tcBorders>
              <w:top w:val="single" w:color="BFC7D5" w:sz="4"/>
              <w:left w:val="single" w:color="BFC7D5" w:sz="4"/>
              <w:bottom w:val="single" w:color="BFC7D5" w:sz="4"/>
              <w:right w:val="single" w:color="BFC7D5" w:sz="4"/>
            </w:tcBorders>
            <w:tcMar>
              <w:top w:type="dxa" w:w="80"/>
              <w:left w:type="dxa" w:w="120"/>
              <w:bottom w:type="dxa" w:w="80"/>
              <w:right w:type="dxa" w:w="120"/>
            </w:tcMar>
            <w:vAlign w:val="center"/>
          </w:tcPr>
          <w:p>
            <w:pPr>
              <w:jc w:val="left"/>
            </w:pPr>
            <w:r>
              <w:rPr>
                <w:rFonts w:ascii="Arial" w:cs="Arial" w:eastAsia="Arial" w:hAnsi="Arial"/>
                <w:sz w:val="21"/>
                <w:szCs w:val="21"/>
              </w:rPr>
              <w:t xml:space="preserve">Zona</w:t>
            </w:r>
          </w:p>
        </w:tc>
        <w:tc>
          <w:tcPr>
            <w:tcW w:type="dxa" w:w="6826"/>
            <w:tcBorders>
              <w:top w:val="single" w:color="BFC7D5" w:sz="4"/>
              <w:left w:val="single" w:color="BFC7D5" w:sz="4"/>
              <w:bottom w:val="single" w:color="BFC7D5" w:sz="4"/>
              <w:right w:val="single" w:color="BFC7D5" w:sz="4"/>
            </w:tcBorders>
            <w:tcMar>
              <w:top w:type="dxa" w:w="80"/>
              <w:left w:type="dxa" w:w="120"/>
              <w:bottom w:type="dxa" w:w="80"/>
              <w:right w:type="dxa" w:w="120"/>
            </w:tcMar>
            <w:vAlign w:val="center"/>
          </w:tcPr>
          <w:p>
            <w:pPr>
              <w:jc w:val="left"/>
            </w:pPr>
            <w:r>
              <w:rPr>
                <w:rFonts w:ascii="Arial" w:cs="Arial" w:eastAsia="Arial" w:hAnsi="Arial"/>
                <w:sz w:val="21"/>
                <w:szCs w:val="21"/>
              </w:rPr>
              <w:t xml:space="preserve">Zona céntrica de Montevideo, en los barrios Parque Rodó y Cordón.</w:t>
            </w:r>
          </w:p>
        </w:tc>
      </w:tr>
      <w:tr>
        <w:tc>
          <w:tcPr>
            <w:tcW w:type="dxa" w:w="2200"/>
            <w:tcBorders>
              <w:top w:val="single" w:color="BFC7D5" w:sz="4"/>
              <w:left w:val="single" w:color="BFC7D5" w:sz="4"/>
              <w:bottom w:val="single" w:color="BFC7D5" w:sz="4"/>
              <w:right w:val="single" w:color="BFC7D5" w:sz="4"/>
            </w:tcBorders>
            <w:shd w:fill="F3F6FB" w:color="auto" w:val="clear"/>
            <w:tcMar>
              <w:top w:type="dxa" w:w="80"/>
              <w:left w:type="dxa" w:w="120"/>
              <w:bottom w:type="dxa" w:w="80"/>
              <w:right w:type="dxa" w:w="120"/>
            </w:tcMar>
            <w:vAlign w:val="center"/>
          </w:tcPr>
          <w:p>
            <w:pPr>
              <w:jc w:val="left"/>
            </w:pPr>
            <w:r>
              <w:rPr>
                <w:rFonts w:ascii="Arial" w:cs="Arial" w:eastAsia="Arial" w:hAnsi="Arial"/>
                <w:sz w:val="21"/>
                <w:szCs w:val="21"/>
              </w:rPr>
              <w:t xml:space="preserve">Momento de consumo</w:t>
            </w:r>
          </w:p>
        </w:tc>
        <w:tc>
          <w:tcPr>
            <w:tcW w:type="dxa" w:w="6826"/>
            <w:tcBorders>
              <w:top w:val="single" w:color="BFC7D5" w:sz="4"/>
              <w:left w:val="single" w:color="BFC7D5" w:sz="4"/>
              <w:bottom w:val="single" w:color="BFC7D5" w:sz="4"/>
              <w:right w:val="single" w:color="BFC7D5" w:sz="4"/>
            </w:tcBorders>
            <w:shd w:fill="F3F6FB" w:color="auto" w:val="clear"/>
            <w:tcMar>
              <w:top w:type="dxa" w:w="80"/>
              <w:left w:type="dxa" w:w="120"/>
              <w:bottom w:type="dxa" w:w="80"/>
              <w:right w:type="dxa" w:w="120"/>
            </w:tcMar>
            <w:vAlign w:val="center"/>
          </w:tcPr>
          <w:p>
            <w:pPr>
              <w:jc w:val="left"/>
            </w:pPr>
            <w:r>
              <w:rPr>
                <w:rFonts w:ascii="Arial" w:cs="Arial" w:eastAsia="Arial" w:hAnsi="Arial"/>
                <w:b/>
                <w:bCs/>
                <w:sz w:val="21"/>
                <w:szCs w:val="21"/>
              </w:rPr>
              <w:t xml:space="preserve">Take away de la tarde, tipo “after office”</w:t>
            </w:r>
            <w:r>
              <w:rPr>
                <w:rFonts w:ascii="Arial" w:cs="Arial" w:eastAsia="Arial" w:hAnsi="Arial"/>
                <w:sz w:val="21"/>
                <w:szCs w:val="21"/>
              </w:rPr>
              <w:t xml:space="preserve">: gente que sale del trabajo y se lleva una bebida fría de café. SAUCO atiende de 8:00 a 20:00 (desayuno, almuerzo y merienda); la carta está pensada para el verano, de diciembre a marzo.</w:t>
            </w:r>
          </w:p>
        </w:tc>
      </w:tr>
      <w:tr>
        <w:tc>
          <w:tcPr>
            <w:tcW w:type="dxa" w:w="2200"/>
            <w:tcBorders>
              <w:top w:val="single" w:color="BFC7D5" w:sz="4"/>
              <w:left w:val="single" w:color="BFC7D5" w:sz="4"/>
              <w:bottom w:val="single" w:color="BFC7D5" w:sz="4"/>
              <w:right w:val="single" w:color="BFC7D5" w:sz="4"/>
            </w:tcBorders>
            <w:tcMar>
              <w:top w:type="dxa" w:w="80"/>
              <w:left w:type="dxa" w:w="120"/>
              <w:bottom w:type="dxa" w:w="80"/>
              <w:right w:type="dxa" w:w="120"/>
            </w:tcMar>
            <w:vAlign w:val="center"/>
          </w:tcPr>
          <w:p>
            <w:pPr>
              <w:jc w:val="left"/>
            </w:pPr>
            <w:r>
              <w:rPr>
                <w:rFonts w:ascii="Arial" w:cs="Arial" w:eastAsia="Arial" w:hAnsi="Arial"/>
                <w:sz w:val="21"/>
                <w:szCs w:val="21"/>
              </w:rPr>
              <w:t xml:space="preserve">Situación y oportunidad</w:t>
            </w:r>
          </w:p>
        </w:tc>
        <w:tc>
          <w:tcPr>
            <w:tcW w:type="dxa" w:w="6826"/>
            <w:tcBorders>
              <w:top w:val="single" w:color="BFC7D5" w:sz="4"/>
              <w:left w:val="single" w:color="BFC7D5" w:sz="4"/>
              <w:bottom w:val="single" w:color="BFC7D5" w:sz="4"/>
              <w:right w:val="single" w:color="BFC7D5" w:sz="4"/>
            </w:tcBorders>
            <w:tcMar>
              <w:top w:type="dxa" w:w="80"/>
              <w:left w:type="dxa" w:w="120"/>
              <w:bottom w:type="dxa" w:w="80"/>
              <w:right w:type="dxa" w:w="120"/>
            </w:tcMar>
            <w:vAlign w:val="center"/>
          </w:tcPr>
          <w:p>
            <w:pPr>
              <w:jc w:val="left"/>
            </w:pPr>
            <w:r>
              <w:rPr>
                <w:rFonts w:ascii="Arial" w:cs="Arial" w:eastAsia="Arial" w:hAnsi="Arial"/>
                <w:sz w:val="21"/>
                <w:szCs w:val="21"/>
              </w:rPr>
              <w:t xml:space="preserve">En verano el negocio entra en temporada baja y, además, el local es cerrado, sin espacio al aire libre. Para promover el consumo, el grupo propone una carta de 10 tragos de autor de café frío </w:t>
            </w:r>
            <w:r>
              <w:rPr>
                <w:rFonts w:ascii="Arial" w:cs="Arial" w:eastAsia="Arial" w:hAnsi="Arial"/>
                <w:sz w:val="21"/>
                <w:szCs w:val="21"/>
                <w:highlight w:val="yellow"/>
              </w:rPr>
              <w:t xml:space="preserve">[con / sin alcohol]</w:t>
            </w:r>
            <w:r>
              <w:rPr>
                <w:rFonts w:ascii="Arial" w:cs="Arial" w:eastAsia="Arial" w:hAnsi="Arial"/>
                <w:sz w:val="21"/>
                <w:szCs w:val="21"/>
              </w:rPr>
              <w:t xml:space="preserve">. </w:t>
            </w:r>
            <w:r>
              <w:rPr>
                <w:rFonts w:ascii="Arial" w:cs="Arial" w:eastAsia="Arial" w:hAnsi="Arial"/>
                <w:sz w:val="21"/>
                <w:szCs w:val="21"/>
                <w:highlight w:val="yellow"/>
              </w:rPr>
              <w:t xml:space="preserve">[Propuesta para revisar: al ser para llevar, el local cerrado deja de ser un límite para esta carta.]</w:t>
            </w:r>
          </w:p>
        </w:tc>
      </w:tr>
      <w:tr>
        <w:tc>
          <w:tcPr>
            <w:tcW w:type="dxa" w:w="2200"/>
            <w:tcBorders>
              <w:top w:val="single" w:color="BFC7D5" w:sz="4"/>
              <w:left w:val="single" w:color="BFC7D5" w:sz="4"/>
              <w:bottom w:val="single" w:color="BFC7D5" w:sz="4"/>
              <w:right w:val="single" w:color="BFC7D5" w:sz="4"/>
            </w:tcBorders>
            <w:shd w:fill="F3F6FB" w:color="auto" w:val="clear"/>
            <w:tcMar>
              <w:top w:type="dxa" w:w="80"/>
              <w:left w:type="dxa" w:w="120"/>
              <w:bottom w:type="dxa" w:w="80"/>
              <w:right w:type="dxa" w:w="120"/>
            </w:tcMar>
            <w:vAlign w:val="center"/>
          </w:tcPr>
          <w:p>
            <w:pPr>
              <w:jc w:val="left"/>
            </w:pPr>
            <w:r>
              <w:rPr>
                <w:rFonts w:ascii="Arial" w:cs="Arial" w:eastAsia="Arial" w:hAnsi="Arial"/>
                <w:sz w:val="21"/>
                <w:szCs w:val="21"/>
              </w:rPr>
              <w:t xml:space="preserve">Competencia</w:t>
            </w:r>
          </w:p>
        </w:tc>
        <w:tc>
          <w:tcPr>
            <w:tcW w:type="dxa" w:w="6826"/>
            <w:tcBorders>
              <w:top w:val="single" w:color="BFC7D5" w:sz="4"/>
              <w:left w:val="single" w:color="BFC7D5" w:sz="4"/>
              <w:bottom w:val="single" w:color="BFC7D5" w:sz="4"/>
              <w:right w:val="single" w:color="BFC7D5" w:sz="4"/>
            </w:tcBorders>
            <w:shd w:fill="F3F6FB" w:color="auto" w:val="clear"/>
            <w:tcMar>
              <w:top w:type="dxa" w:w="80"/>
              <w:left w:type="dxa" w:w="120"/>
              <w:bottom w:type="dxa" w:w="80"/>
              <w:right w:type="dxa" w:w="120"/>
            </w:tcMar>
            <w:vAlign w:val="center"/>
          </w:tcPr>
          <w:p>
            <w:pPr>
              <w:jc w:val="left"/>
            </w:pPr>
            <w:r>
              <w:rPr>
                <w:rFonts w:ascii="Arial" w:cs="Arial" w:eastAsia="Arial" w:hAnsi="Arial"/>
                <w:sz w:val="21"/>
                <w:szCs w:val="21"/>
              </w:rPr>
              <w:t xml:space="preserve">Directa: las cafeterías cercanas, en particular Culto y Patrimonio, a 4 cuadras. Indirecta: los bares de la zona, que compiten por el mismo público, sobre todo a la tarde.</w:t>
            </w:r>
          </w:p>
        </w:tc>
      </w:tr>
      <w:tr>
        <w:tc>
          <w:tcPr>
            <w:tcW w:type="dxa" w:w="2200"/>
            <w:tcBorders>
              <w:top w:val="single" w:color="BFC7D5" w:sz="4"/>
              <w:left w:val="single" w:color="BFC7D5" w:sz="4"/>
              <w:bottom w:val="single" w:color="BFC7D5" w:sz="4"/>
              <w:right w:val="single" w:color="BFC7D5" w:sz="4"/>
            </w:tcBorders>
            <w:tcMar>
              <w:top w:type="dxa" w:w="80"/>
              <w:left w:type="dxa" w:w="120"/>
              <w:bottom w:type="dxa" w:w="80"/>
              <w:right w:type="dxa" w:w="120"/>
            </w:tcMar>
            <w:vAlign w:val="center"/>
          </w:tcPr>
          <w:p>
            <w:pPr>
              <w:jc w:val="left"/>
            </w:pPr>
            <w:r>
              <w:rPr>
                <w:rFonts w:ascii="Arial" w:cs="Arial" w:eastAsia="Arial" w:hAnsi="Arial"/>
                <w:sz w:val="21"/>
                <w:szCs w:val="21"/>
              </w:rPr>
              <w:t xml:space="preserve">Estrategia</w:t>
            </w:r>
          </w:p>
        </w:tc>
        <w:tc>
          <w:tcPr>
            <w:tcW w:type="dxa" w:w="6826"/>
            <w:tcBorders>
              <w:top w:val="single" w:color="BFC7D5" w:sz="4"/>
              <w:left w:val="single" w:color="BFC7D5" w:sz="4"/>
              <w:bottom w:val="single" w:color="BFC7D5" w:sz="4"/>
              <w:right w:val="single" w:color="BFC7D5" w:sz="4"/>
            </w:tcBorders>
            <w:tcMar>
              <w:top w:type="dxa" w:w="80"/>
              <w:left w:type="dxa" w:w="120"/>
              <w:bottom w:type="dxa" w:w="80"/>
              <w:right w:type="dxa" w:w="120"/>
            </w:tcMar>
            <w:vAlign w:val="center"/>
          </w:tcPr>
          <w:p>
            <w:pPr>
              <w:jc w:val="left"/>
            </w:pPr>
            <w:r>
              <w:rPr>
                <w:rFonts w:ascii="Arial" w:cs="Arial" w:eastAsia="Arial" w:hAnsi="Arial"/>
                <w:sz w:val="21"/>
                <w:szCs w:val="21"/>
              </w:rPr>
              <w:t xml:space="preserve">Desarrollo de producto (ver la matriz de Ansoff): un producto nuevo, la carta de 10 tragos de café frío de autor, para el mercado actual.</w:t>
            </w:r>
          </w:p>
        </w:tc>
      </w:tr>
    </w:tbl>
    <w:p>
      <w:pPr>
        <w:spacing w:after="160"/>
      </w:pPr>
    </w:p>
    <w:p>
      <w:pPr>
        <w:pStyle w:val="Heading2"/>
      </w:pPr>
      <w:r>
        <w:rPr>
          <w:rFonts w:ascii="Arial" w:cs="Arial" w:eastAsia="Arial" w:hAnsi="Arial"/>
        </w:rPr>
        <w:t xml:space="preserve">Paso 2. Establecer el “size of the prize”</w:t>
      </w:r>
    </w:p>
    <w:p>
      <w:pPr>
        <w:spacing w:after="140" w:line="300"/>
      </w:pPr>
      <w:r>
        <w:rPr>
          <w:rFonts w:ascii="Arial" w:cs="Arial" w:eastAsia="Arial" w:hAnsi="Arial"/>
        </w:rPr>
        <w:t xml:space="preserve">El premio es cuánto se podría vender con la carta nueva durante el verano, de diciembre a marzo: unos 100 días de apertura, de lunes a sábado. Para dimensionarlo se parte del tamaño del mercado y se calcula qué parte de ese mercado puede captar la carta.</w:t>
      </w:r>
    </w:p>
    <w:p>
      <w:pPr>
        <w:spacing w:after="140" w:line="300"/>
      </w:pPr>
      <w:r>
        <w:rPr>
          <w:rFonts w:ascii="Arial" w:cs="Arial" w:eastAsia="Arial" w:hAnsi="Arial"/>
          <w:b/>
          <w:bCs/>
        </w:rPr>
        <w:t xml:space="preserve">Tamaño del mercado</w:t>
      </w:r>
      <w:r>
        <w:rPr>
          <w:rFonts w:ascii="Arial" w:cs="Arial" w:eastAsia="Arial" w:hAnsi="Arial"/>
        </w:rPr>
        <w:t xml:space="preserve"> (café fuera de casa en la zona):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2300"/>
        <w:gridCol w:w="3426"/>
      </w:tblGrid>
      <w:tr>
        <w:trPr>
          <w:tblHeader/>
        </w:trPr>
        <w:tc>
          <w:tcPr>
            <w:tcW w:type="dxa" w:w="3300"/>
            <w:tcBorders>
              <w:top w:val="single" w:color="BFC7D5" w:sz="4"/>
              <w:left w:val="single" w:color="BFC7D5" w:sz="4"/>
              <w:bottom w:val="single" w:color="BFC7D5" w:sz="4"/>
              <w:right w:val="single" w:color="BFC7D5" w:sz="4"/>
            </w:tcBorders>
            <w:shd w:fill="1F3864" w:color="auto" w:val="clear"/>
            <w:tcMar>
              <w:top w:type="dxa" w:w="80"/>
              <w:left w:type="dxa" w:w="120"/>
              <w:bottom w:type="dxa" w:w="80"/>
              <w:right w:type="dxa" w:w="120"/>
            </w:tcMar>
            <w:vAlign w:val="center"/>
          </w:tcPr>
          <w:p>
            <w:pPr>
              <w:jc w:val="left"/>
            </w:pPr>
            <w:r>
              <w:rPr>
                <w:rFonts w:ascii="Arial" w:cs="Arial" w:eastAsia="Arial" w:hAnsi="Arial"/>
                <w:b/>
                <w:bCs/>
                <w:color w:val="FFFFFF"/>
                <w:sz w:val="21"/>
                <w:szCs w:val="21"/>
              </w:rPr>
              <w:t xml:space="preserve">Dato</w:t>
            </w:r>
          </w:p>
        </w:tc>
        <w:tc>
          <w:tcPr>
            <w:tcW w:type="dxa" w:w="2300"/>
            <w:tcBorders>
              <w:top w:val="single" w:color="BFC7D5" w:sz="4"/>
              <w:left w:val="single" w:color="BFC7D5" w:sz="4"/>
              <w:bottom w:val="single" w:color="BFC7D5" w:sz="4"/>
              <w:right w:val="single" w:color="BFC7D5" w:sz="4"/>
            </w:tcBorders>
            <w:shd w:fill="1F3864" w:color="auto" w:val="clear"/>
            <w:tcMar>
              <w:top w:type="dxa" w:w="80"/>
              <w:left w:type="dxa" w:w="120"/>
              <w:bottom w:type="dxa" w:w="80"/>
              <w:right w:type="dxa" w:w="120"/>
            </w:tcMar>
            <w:vAlign w:val="center"/>
          </w:tcPr>
          <w:p>
            <w:pPr>
              <w:jc w:val="center"/>
            </w:pPr>
            <w:r>
              <w:rPr>
                <w:rFonts w:ascii="Arial" w:cs="Arial" w:eastAsia="Arial" w:hAnsi="Arial"/>
                <w:b/>
                <w:bCs/>
                <w:color w:val="FFFFFF"/>
                <w:sz w:val="21"/>
                <w:szCs w:val="21"/>
              </w:rPr>
              <w:t xml:space="preserve">Valor</w:t>
            </w:r>
          </w:p>
        </w:tc>
        <w:tc>
          <w:tcPr>
            <w:tcW w:type="dxa" w:w="3426"/>
            <w:tcBorders>
              <w:top w:val="single" w:color="BFC7D5" w:sz="4"/>
              <w:left w:val="single" w:color="BFC7D5" w:sz="4"/>
              <w:bottom w:val="single" w:color="BFC7D5" w:sz="4"/>
              <w:right w:val="single" w:color="BFC7D5" w:sz="4"/>
            </w:tcBorders>
            <w:shd w:fill="1F3864" w:color="auto" w:val="clear"/>
            <w:tcMar>
              <w:top w:type="dxa" w:w="80"/>
              <w:left w:type="dxa" w:w="120"/>
              <w:bottom w:type="dxa" w:w="80"/>
              <w:right w:type="dxa" w:w="120"/>
            </w:tcMar>
            <w:vAlign w:val="center"/>
          </w:tcPr>
          <w:p>
            <w:pPr>
              <w:jc w:val="center"/>
            </w:pPr>
            <w:r>
              <w:rPr>
                <w:rFonts w:ascii="Arial" w:cs="Arial" w:eastAsia="Arial" w:hAnsi="Arial"/>
                <w:b/>
                <w:bCs/>
                <w:color w:val="FFFFFF"/>
                <w:sz w:val="21"/>
                <w:szCs w:val="21"/>
              </w:rPr>
              <w:t xml:space="preserve">Cálculo</w:t>
            </w:r>
          </w:p>
        </w:tc>
      </w:tr>
      <w:tr>
        <w:tc>
          <w:tcPr>
            <w:tcW w:type="dxa" w:w="3300"/>
            <w:tcBorders>
              <w:top w:val="single" w:color="BFC7D5" w:sz="4"/>
              <w:left w:val="single" w:color="BFC7D5" w:sz="4"/>
              <w:bottom w:val="single" w:color="BFC7D5" w:sz="4"/>
              <w:right w:val="single" w:color="BFC7D5" w:sz="4"/>
            </w:tcBorders>
            <w:tcMar>
              <w:top w:type="dxa" w:w="80"/>
              <w:left w:type="dxa" w:w="120"/>
              <w:bottom w:type="dxa" w:w="80"/>
              <w:right w:type="dxa" w:w="120"/>
            </w:tcMar>
            <w:vAlign w:val="center"/>
          </w:tcPr>
          <w:p>
            <w:pPr>
              <w:jc w:val="left"/>
            </w:pPr>
            <w:r>
              <w:rPr>
                <w:rFonts w:ascii="Arial" w:cs="Arial" w:eastAsia="Arial" w:hAnsi="Arial"/>
                <w:sz w:val="21"/>
                <w:szCs w:val="21"/>
              </w:rPr>
              <w:t xml:space="preserve">Cafeterías en la zona</w:t>
            </w:r>
          </w:p>
        </w:tc>
        <w:tc>
          <w:tcPr>
            <w:tcW w:type="dxa" w:w="2300"/>
            <w:tcBorders>
              <w:top w:val="single" w:color="BFC7D5" w:sz="4"/>
              <w:left w:val="single" w:color="BFC7D5" w:sz="4"/>
              <w:bottom w:val="single" w:color="BFC7D5" w:sz="4"/>
              <w:right w:val="single" w:color="BFC7D5" w:sz="4"/>
            </w:tcBorders>
            <w:tcMar>
              <w:top w:type="dxa" w:w="80"/>
              <w:left w:type="dxa" w:w="120"/>
              <w:bottom w:type="dxa" w:w="80"/>
              <w:right w:type="dxa" w:w="120"/>
            </w:tcMar>
            <w:vAlign w:val="center"/>
          </w:tcPr>
          <w:p>
            <w:pPr>
              <w:jc w:val="center"/>
            </w:pPr>
            <w:r>
              <w:rPr>
                <w:rFonts w:ascii="Arial" w:cs="Arial" w:eastAsia="Arial" w:hAnsi="Arial"/>
                <w:sz w:val="21"/>
                <w:szCs w:val="21"/>
              </w:rPr>
              <w:t xml:space="preserve">10</w:t>
            </w:r>
          </w:p>
        </w:tc>
        <w:tc>
          <w:tcPr>
            <w:tcW w:type="dxa" w:w="3426"/>
            <w:tcBorders>
              <w:top w:val="single" w:color="BFC7D5" w:sz="4"/>
              <w:left w:val="single" w:color="BFC7D5" w:sz="4"/>
              <w:bottom w:val="single" w:color="BFC7D5" w:sz="4"/>
              <w:right w:val="single" w:color="BFC7D5" w:sz="4"/>
            </w:tcBorders>
            <w:tcMar>
              <w:top w:type="dxa" w:w="80"/>
              <w:left w:type="dxa" w:w="120"/>
              <w:bottom w:type="dxa" w:w="80"/>
              <w:right w:type="dxa" w:w="120"/>
            </w:tcMar>
            <w:vAlign w:val="center"/>
          </w:tcPr>
          <w:p>
            <w:pPr>
              <w:jc w:val="left"/>
            </w:pPr>
            <w:r>
              <w:rPr>
                <w:rFonts w:ascii="Arial" w:cs="Arial" w:eastAsia="Arial" w:hAnsi="Arial"/>
                <w:sz w:val="21"/>
                <w:szCs w:val="21"/>
              </w:rPr>
              <w:t xml:space="preserve">Dato del grupo (promedio)</w:t>
            </w:r>
          </w:p>
        </w:tc>
      </w:tr>
      <w:tr>
        <w:tc>
          <w:tcPr>
            <w:tcW w:type="dxa" w:w="3300"/>
            <w:tcBorders>
              <w:top w:val="single" w:color="BFC7D5" w:sz="4"/>
              <w:left w:val="single" w:color="BFC7D5" w:sz="4"/>
              <w:bottom w:val="single" w:color="BFC7D5" w:sz="4"/>
              <w:right w:val="single" w:color="BFC7D5" w:sz="4"/>
            </w:tcBorders>
            <w:shd w:fill="F3F6FB" w:color="auto" w:val="clear"/>
            <w:tcMar>
              <w:top w:type="dxa" w:w="80"/>
              <w:left w:type="dxa" w:w="120"/>
              <w:bottom w:type="dxa" w:w="80"/>
              <w:right w:type="dxa" w:w="120"/>
            </w:tcMar>
            <w:vAlign w:val="center"/>
          </w:tcPr>
          <w:p>
            <w:pPr>
              <w:jc w:val="left"/>
            </w:pPr>
            <w:r>
              <w:rPr>
                <w:rFonts w:ascii="Arial" w:cs="Arial" w:eastAsia="Arial" w:hAnsi="Arial"/>
                <w:sz w:val="21"/>
                <w:szCs w:val="21"/>
              </w:rPr>
              <w:t xml:space="preserve">Ventas de café por cafetería</w:t>
            </w:r>
          </w:p>
        </w:tc>
        <w:tc>
          <w:tcPr>
            <w:tcW w:type="dxa" w:w="2300"/>
            <w:tcBorders>
              <w:top w:val="single" w:color="BFC7D5" w:sz="4"/>
              <w:left w:val="single" w:color="BFC7D5" w:sz="4"/>
              <w:bottom w:val="single" w:color="BFC7D5" w:sz="4"/>
              <w:right w:val="single" w:color="BFC7D5" w:sz="4"/>
            </w:tcBorders>
            <w:shd w:fill="F3F6FB" w:color="auto" w:val="clear"/>
            <w:tcMar>
              <w:top w:type="dxa" w:w="80"/>
              <w:left w:type="dxa" w:w="120"/>
              <w:bottom w:type="dxa" w:w="80"/>
              <w:right w:type="dxa" w:w="120"/>
            </w:tcMar>
            <w:vAlign w:val="center"/>
          </w:tcPr>
          <w:p>
            <w:pPr>
              <w:jc w:val="center"/>
            </w:pPr>
            <w:r>
              <w:rPr>
                <w:rFonts w:ascii="Arial" w:cs="Arial" w:eastAsia="Arial" w:hAnsi="Arial"/>
                <w:sz w:val="21"/>
                <w:szCs w:val="21"/>
              </w:rPr>
              <w:t xml:space="preserve">USD 1.500 por día</w:t>
            </w:r>
          </w:p>
        </w:tc>
        <w:tc>
          <w:tcPr>
            <w:tcW w:type="dxa" w:w="3426"/>
            <w:tcBorders>
              <w:top w:val="single" w:color="BFC7D5" w:sz="4"/>
              <w:left w:val="single" w:color="BFC7D5" w:sz="4"/>
              <w:bottom w:val="single" w:color="BFC7D5" w:sz="4"/>
              <w:right w:val="single" w:color="BFC7D5" w:sz="4"/>
            </w:tcBorders>
            <w:shd w:fill="F3F6FB" w:color="auto" w:val="clear"/>
            <w:tcMar>
              <w:top w:type="dxa" w:w="80"/>
              <w:left w:type="dxa" w:w="120"/>
              <w:bottom w:type="dxa" w:w="80"/>
              <w:right w:type="dxa" w:w="120"/>
            </w:tcMar>
            <w:vAlign w:val="center"/>
          </w:tcPr>
          <w:p>
            <w:pPr>
              <w:jc w:val="left"/>
            </w:pPr>
            <w:r>
              <w:rPr>
                <w:rFonts w:ascii="Arial" w:cs="Arial" w:eastAsia="Arial" w:hAnsi="Arial"/>
                <w:sz w:val="21"/>
                <w:szCs w:val="21"/>
              </w:rPr>
              <w:t xml:space="preserve">Dato del grupo (promedio)</w:t>
            </w:r>
          </w:p>
        </w:tc>
      </w:tr>
      <w:tr>
        <w:tc>
          <w:tcPr>
            <w:tcW w:type="dxa" w:w="3300"/>
            <w:tcBorders>
              <w:top w:val="single" w:color="BFC7D5" w:sz="4"/>
              <w:left w:val="single" w:color="BFC7D5" w:sz="4"/>
              <w:bottom w:val="single" w:color="BFC7D5" w:sz="4"/>
              <w:right w:val="single" w:color="BFC7D5" w:sz="4"/>
            </w:tcBorders>
            <w:tcMar>
              <w:top w:type="dxa" w:w="80"/>
              <w:left w:type="dxa" w:w="120"/>
              <w:bottom w:type="dxa" w:w="80"/>
              <w:right w:type="dxa" w:w="120"/>
            </w:tcMar>
            <w:vAlign w:val="center"/>
          </w:tcPr>
          <w:p>
            <w:pPr>
              <w:jc w:val="left"/>
            </w:pPr>
            <w:r>
              <w:rPr>
                <w:rFonts w:ascii="Arial" w:cs="Arial" w:eastAsia="Arial" w:hAnsi="Arial"/>
                <w:b/>
                <w:bCs/>
                <w:sz w:val="21"/>
                <w:szCs w:val="21"/>
              </w:rPr>
              <w:t xml:space="preserve">Mercado por día</w:t>
            </w:r>
          </w:p>
        </w:tc>
        <w:tc>
          <w:tcPr>
            <w:tcW w:type="dxa" w:w="2300"/>
            <w:tcBorders>
              <w:top w:val="single" w:color="BFC7D5" w:sz="4"/>
              <w:left w:val="single" w:color="BFC7D5" w:sz="4"/>
              <w:bottom w:val="single" w:color="BFC7D5" w:sz="4"/>
              <w:right w:val="single" w:color="BFC7D5" w:sz="4"/>
            </w:tcBorders>
            <w:tcMar>
              <w:top w:type="dxa" w:w="80"/>
              <w:left w:type="dxa" w:w="120"/>
              <w:bottom w:type="dxa" w:w="80"/>
              <w:right w:type="dxa" w:w="120"/>
            </w:tcMar>
            <w:vAlign w:val="center"/>
          </w:tcPr>
          <w:p>
            <w:pPr>
              <w:jc w:val="center"/>
            </w:pPr>
            <w:r>
              <w:rPr>
                <w:rFonts w:ascii="Arial" w:cs="Arial" w:eastAsia="Arial" w:hAnsi="Arial"/>
                <w:b/>
                <w:bCs/>
                <w:sz w:val="21"/>
                <w:szCs w:val="21"/>
              </w:rPr>
              <w:t xml:space="preserve">USD 15.000</w:t>
            </w:r>
          </w:p>
        </w:tc>
        <w:tc>
          <w:tcPr>
            <w:tcW w:type="dxa" w:w="3426"/>
            <w:tcBorders>
              <w:top w:val="single" w:color="BFC7D5" w:sz="4"/>
              <w:left w:val="single" w:color="BFC7D5" w:sz="4"/>
              <w:bottom w:val="single" w:color="BFC7D5" w:sz="4"/>
              <w:right w:val="single" w:color="BFC7D5" w:sz="4"/>
            </w:tcBorders>
            <w:tcMar>
              <w:top w:type="dxa" w:w="80"/>
              <w:left w:type="dxa" w:w="120"/>
              <w:bottom w:type="dxa" w:w="80"/>
              <w:right w:type="dxa" w:w="120"/>
            </w:tcMar>
            <w:vAlign w:val="center"/>
          </w:tcPr>
          <w:p>
            <w:pPr>
              <w:jc w:val="left"/>
            </w:pPr>
            <w:r>
              <w:rPr>
                <w:rFonts w:ascii="Arial" w:cs="Arial" w:eastAsia="Arial" w:hAnsi="Arial"/>
                <w:sz w:val="21"/>
                <w:szCs w:val="21"/>
              </w:rPr>
              <w:t xml:space="preserve">10 × USD 1.500</w:t>
            </w:r>
          </w:p>
        </w:tc>
      </w:tr>
      <w:tr>
        <w:tc>
          <w:tcPr>
            <w:tcW w:type="dxa" w:w="3300"/>
            <w:tcBorders>
              <w:top w:val="single" w:color="BFC7D5" w:sz="4"/>
              <w:left w:val="single" w:color="BFC7D5" w:sz="4"/>
              <w:bottom w:val="single" w:color="BFC7D5" w:sz="4"/>
              <w:right w:val="single" w:color="BFC7D5" w:sz="4"/>
            </w:tcBorders>
            <w:shd w:fill="F3F6FB" w:color="auto" w:val="clear"/>
            <w:tcMar>
              <w:top w:type="dxa" w:w="80"/>
              <w:left w:type="dxa" w:w="120"/>
              <w:bottom w:type="dxa" w:w="80"/>
              <w:right w:type="dxa" w:w="120"/>
            </w:tcMar>
            <w:vAlign w:val="center"/>
          </w:tcPr>
          <w:p>
            <w:pPr>
              <w:jc w:val="left"/>
            </w:pPr>
            <w:r>
              <w:rPr>
                <w:rFonts w:ascii="Arial" w:cs="Arial" w:eastAsia="Arial" w:hAnsi="Arial"/>
                <w:sz w:val="21"/>
                <w:szCs w:val="21"/>
              </w:rPr>
              <w:t xml:space="preserve">Días de verano</w:t>
            </w:r>
          </w:p>
        </w:tc>
        <w:tc>
          <w:tcPr>
            <w:tcW w:type="dxa" w:w="2300"/>
            <w:tcBorders>
              <w:top w:val="single" w:color="BFC7D5" w:sz="4"/>
              <w:left w:val="single" w:color="BFC7D5" w:sz="4"/>
              <w:bottom w:val="single" w:color="BFC7D5" w:sz="4"/>
              <w:right w:val="single" w:color="BFC7D5" w:sz="4"/>
            </w:tcBorders>
            <w:shd w:fill="F3F6FB" w:color="auto" w:val="clear"/>
            <w:tcMar>
              <w:top w:type="dxa" w:w="80"/>
              <w:left w:type="dxa" w:w="120"/>
              <w:bottom w:type="dxa" w:w="80"/>
              <w:right w:type="dxa" w:w="120"/>
            </w:tcMar>
            <w:vAlign w:val="center"/>
          </w:tcPr>
          <w:p>
            <w:pPr>
              <w:jc w:val="center"/>
            </w:pPr>
            <w:r>
              <w:rPr>
                <w:rFonts w:ascii="Arial" w:cs="Arial" w:eastAsia="Arial" w:hAnsi="Arial"/>
                <w:sz w:val="21"/>
                <w:szCs w:val="21"/>
              </w:rPr>
              <w:t xml:space="preserve">Unos 100</w:t>
            </w:r>
          </w:p>
        </w:tc>
        <w:tc>
          <w:tcPr>
            <w:tcW w:type="dxa" w:w="3426"/>
            <w:tcBorders>
              <w:top w:val="single" w:color="BFC7D5" w:sz="4"/>
              <w:left w:val="single" w:color="BFC7D5" w:sz="4"/>
              <w:bottom w:val="single" w:color="BFC7D5" w:sz="4"/>
              <w:right w:val="single" w:color="BFC7D5" w:sz="4"/>
            </w:tcBorders>
            <w:shd w:fill="F3F6FB" w:color="auto" w:val="clear"/>
            <w:tcMar>
              <w:top w:type="dxa" w:w="80"/>
              <w:left w:type="dxa" w:w="120"/>
              <w:bottom w:type="dxa" w:w="80"/>
              <w:right w:type="dxa" w:w="120"/>
            </w:tcMar>
            <w:vAlign w:val="center"/>
          </w:tcPr>
          <w:p>
            <w:pPr>
              <w:jc w:val="left"/>
            </w:pPr>
            <w:r>
              <w:rPr>
                <w:rFonts w:ascii="Arial" w:cs="Arial" w:eastAsia="Arial" w:hAnsi="Arial"/>
                <w:sz w:val="21"/>
                <w:szCs w:val="21"/>
              </w:rPr>
              <w:t xml:space="preserve">Diciembre a marzo, de lunes a sábado</w:t>
            </w:r>
          </w:p>
        </w:tc>
      </w:tr>
      <w:tr>
        <w:tc>
          <w:tcPr>
            <w:tcW w:type="dxa" w:w="3300"/>
            <w:tcBorders>
              <w:top w:val="single" w:color="BFC7D5" w:sz="4"/>
              <w:left w:val="single" w:color="BFC7D5" w:sz="4"/>
              <w:bottom w:val="single" w:color="BFC7D5" w:sz="4"/>
              <w:right w:val="single" w:color="BFC7D5" w:sz="4"/>
            </w:tcBorders>
            <w:tcMar>
              <w:top w:type="dxa" w:w="80"/>
              <w:left w:type="dxa" w:w="120"/>
              <w:bottom w:type="dxa" w:w="80"/>
              <w:right w:type="dxa" w:w="120"/>
            </w:tcMar>
            <w:vAlign w:val="center"/>
          </w:tcPr>
          <w:p>
            <w:pPr>
              <w:jc w:val="left"/>
            </w:pPr>
            <w:r>
              <w:rPr>
                <w:rFonts w:ascii="Arial" w:cs="Arial" w:eastAsia="Arial" w:hAnsi="Arial"/>
                <w:b/>
                <w:bCs/>
                <w:sz w:val="21"/>
                <w:szCs w:val="21"/>
              </w:rPr>
              <w:t xml:space="preserve">Mercado del verano</w:t>
            </w:r>
          </w:p>
        </w:tc>
        <w:tc>
          <w:tcPr>
            <w:tcW w:type="dxa" w:w="2300"/>
            <w:tcBorders>
              <w:top w:val="single" w:color="BFC7D5" w:sz="4"/>
              <w:left w:val="single" w:color="BFC7D5" w:sz="4"/>
              <w:bottom w:val="single" w:color="BFC7D5" w:sz="4"/>
              <w:right w:val="single" w:color="BFC7D5" w:sz="4"/>
            </w:tcBorders>
            <w:tcMar>
              <w:top w:type="dxa" w:w="80"/>
              <w:left w:type="dxa" w:w="120"/>
              <w:bottom w:type="dxa" w:w="80"/>
              <w:right w:type="dxa" w:w="120"/>
            </w:tcMar>
            <w:vAlign w:val="center"/>
          </w:tcPr>
          <w:p>
            <w:pPr>
              <w:jc w:val="center"/>
            </w:pPr>
            <w:r>
              <w:rPr>
                <w:rFonts w:ascii="Arial" w:cs="Arial" w:eastAsia="Arial" w:hAnsi="Arial"/>
                <w:b/>
                <w:bCs/>
                <w:sz w:val="21"/>
                <w:szCs w:val="21"/>
              </w:rPr>
              <w:t xml:space="preserve">USD 1.500.000</w:t>
            </w:r>
          </w:p>
        </w:tc>
        <w:tc>
          <w:tcPr>
            <w:tcW w:type="dxa" w:w="3426"/>
            <w:tcBorders>
              <w:top w:val="single" w:color="BFC7D5" w:sz="4"/>
              <w:left w:val="single" w:color="BFC7D5" w:sz="4"/>
              <w:bottom w:val="single" w:color="BFC7D5" w:sz="4"/>
              <w:right w:val="single" w:color="BFC7D5" w:sz="4"/>
            </w:tcBorders>
            <w:tcMar>
              <w:top w:type="dxa" w:w="80"/>
              <w:left w:type="dxa" w:w="120"/>
              <w:bottom w:type="dxa" w:w="80"/>
              <w:right w:type="dxa" w:w="120"/>
            </w:tcMar>
            <w:vAlign w:val="center"/>
          </w:tcPr>
          <w:p>
            <w:pPr>
              <w:jc w:val="left"/>
            </w:pPr>
            <w:r>
              <w:rPr>
                <w:rFonts w:ascii="Arial" w:cs="Arial" w:eastAsia="Arial" w:hAnsi="Arial"/>
                <w:sz w:val="21"/>
                <w:szCs w:val="21"/>
              </w:rPr>
              <w:t xml:space="preserve">USD 15.000 × 100 días</w:t>
            </w:r>
          </w:p>
        </w:tc>
      </w:tr>
      <w:tr>
        <w:tc>
          <w:tcPr>
            <w:tcW w:type="dxa" w:w="3300"/>
            <w:tcBorders>
              <w:top w:val="single" w:color="BFC7D5" w:sz="4"/>
              <w:left w:val="single" w:color="BFC7D5" w:sz="4"/>
              <w:bottom w:val="single" w:color="BFC7D5" w:sz="4"/>
              <w:right w:val="single" w:color="BFC7D5" w:sz="4"/>
            </w:tcBorders>
            <w:shd w:fill="F3F6FB" w:color="auto" w:val="clear"/>
            <w:tcMar>
              <w:top w:type="dxa" w:w="80"/>
              <w:left w:type="dxa" w:w="120"/>
              <w:bottom w:type="dxa" w:w="80"/>
              <w:right w:type="dxa" w:w="120"/>
            </w:tcMar>
            <w:vAlign w:val="center"/>
          </w:tcPr>
          <w:p>
            <w:pPr>
              <w:jc w:val="left"/>
            </w:pPr>
            <w:r>
              <w:rPr>
                <w:rFonts w:ascii="Arial" w:cs="Arial" w:eastAsia="Arial" w:hAnsi="Arial"/>
                <w:sz w:val="21"/>
                <w:szCs w:val="21"/>
              </w:rPr>
              <w:t xml:space="preserve">Referencia: lo que vende SAUCO</w:t>
            </w:r>
          </w:p>
        </w:tc>
        <w:tc>
          <w:tcPr>
            <w:tcW w:type="dxa" w:w="2300"/>
            <w:tcBorders>
              <w:top w:val="single" w:color="BFC7D5" w:sz="4"/>
              <w:left w:val="single" w:color="BFC7D5" w:sz="4"/>
              <w:bottom w:val="single" w:color="BFC7D5" w:sz="4"/>
              <w:right w:val="single" w:color="BFC7D5" w:sz="4"/>
            </w:tcBorders>
            <w:shd w:fill="F3F6FB" w:color="auto" w:val="clear"/>
            <w:tcMar>
              <w:top w:type="dxa" w:w="80"/>
              <w:left w:type="dxa" w:w="120"/>
              <w:bottom w:type="dxa" w:w="80"/>
              <w:right w:type="dxa" w:w="120"/>
            </w:tcMar>
            <w:vAlign w:val="center"/>
          </w:tcPr>
          <w:p>
            <w:pPr>
              <w:jc w:val="center"/>
            </w:pPr>
            <w:r>
              <w:rPr>
                <w:rFonts w:ascii="Arial" w:cs="Arial" w:eastAsia="Arial" w:hAnsi="Arial"/>
                <w:sz w:val="21"/>
                <w:szCs w:val="21"/>
              </w:rPr>
              <w:t xml:space="preserve">USD 150.000 en el verano</w:t>
            </w:r>
          </w:p>
        </w:tc>
        <w:tc>
          <w:tcPr>
            <w:tcW w:type="dxa" w:w="3426"/>
            <w:tcBorders>
              <w:top w:val="single" w:color="BFC7D5" w:sz="4"/>
              <w:left w:val="single" w:color="BFC7D5" w:sz="4"/>
              <w:bottom w:val="single" w:color="BFC7D5" w:sz="4"/>
              <w:right w:val="single" w:color="BFC7D5" w:sz="4"/>
            </w:tcBorders>
            <w:shd w:fill="F3F6FB" w:color="auto" w:val="clear"/>
            <w:tcMar>
              <w:top w:type="dxa" w:w="80"/>
              <w:left w:type="dxa" w:w="120"/>
              <w:bottom w:type="dxa" w:w="80"/>
              <w:right w:type="dxa" w:w="120"/>
            </w:tcMar>
            <w:vAlign w:val="center"/>
          </w:tcPr>
          <w:p>
            <w:pPr>
              <w:jc w:val="left"/>
            </w:pPr>
            <w:r>
              <w:rPr>
                <w:rFonts w:ascii="Arial" w:cs="Arial" w:eastAsia="Arial" w:hAnsi="Arial"/>
                <w:sz w:val="21"/>
                <w:szCs w:val="21"/>
              </w:rPr>
              <w:t xml:space="preserve">Si el mercado se repartiera parejo entre las 10 cafeterías: USD 1.500 × 100 días</w:t>
            </w:r>
          </w:p>
        </w:tc>
      </w:tr>
    </w:tbl>
    <w:p>
      <w:pPr>
        <w:spacing w:after="100"/>
      </w:pPr>
    </w:p>
    <w:p>
      <w:pPr>
        <w:spacing w:after="140" w:line="300"/>
      </w:pPr>
      <w:r>
        <w:rPr>
          <w:rFonts w:ascii="Arial" w:cs="Arial" w:eastAsia="Arial" w:hAnsi="Arial"/>
          <w:highlight w:val="yellow"/>
        </w:rPr>
        <w:t xml:space="preserve">[Confirmar: que las 10 cafeterías son las de Parque Rodó y Cordón (incluida SAUCO) y si los USD 1.500 por día son el promedio del año o el de verano; en la temporada baja las ventas bajan y el mercado del verano sería menor.]</w:t>
      </w:r>
    </w:p>
    <w:p>
      <w:pPr>
        <w:spacing w:after="140" w:line="300"/>
      </w:pPr>
      <w:r>
        <w:rPr>
          <w:rFonts w:ascii="Arial" w:cs="Arial" w:eastAsia="Arial" w:hAnsi="Arial"/>
          <w:b/>
          <w:bCs/>
        </w:rPr>
        <w:t xml:space="preserve">El premio</w:t>
      </w:r>
      <w:r>
        <w:rPr>
          <w:rFonts w:ascii="Arial" w:cs="Arial" w:eastAsia="Arial" w:hAnsi="Arial"/>
        </w:rPr>
        <w:t xml:space="preserve"> es la parte de ese mercado que suma la carta. Se calcula así: tragos por día × precio × 100 días = ventas de la carta en el verano, y esa cifra se compara con los USD 1.500.000 del mercado.</w:t>
      </w:r>
    </w:p>
    <w:p>
      <w:pPr>
        <w:spacing w:after="140" w:line="300"/>
      </w:pPr>
      <w:r>
        <w:rPr>
          <w:rFonts w:ascii="Arial" w:cs="Arial" w:eastAsia="Arial" w:hAnsi="Arial"/>
          <w:color w:val="C00000"/>
        </w:rPr>
        <w:t xml:space="preserve">Ejemplo con números inventados, solo para ver cómo se lee: 40 tickets por tarde × 20% = 8 tragos, más 4 clientes nuevos = 12 tragos por tarde × USD 7 = USD 84 por día × 100 días = USD 8.400 en el verano. Eso es el 0,56% del mercado (USD 8.400 ÷ USD 1.500.000) y el 5,6% de lo que vende hoy SAUCO en el verano (USD 8.400 ÷ USD 150.000). Con el recargo del 150%, la ganancia bruta es del 60% de las ventas: USD 5.040. Se presentan tres escenarios (conservador, base y optimista) y se explica de dónde sale cada supuesto.</w:t>
      </w:r>
    </w:p>
    <w:p>
      <w:pPr>
        <w:spacing w:after="140" w:line="300"/>
      </w:pPr>
      <w:r>
        <w:rPr>
          <w:rFonts w:ascii="Arial" w:cs="Arial" w:eastAsia="Arial" w:hAnsi="Arial"/>
          <w:color w:val="C00000"/>
        </w:rPr>
        <w:t xml:space="preserve">Para completarlo me tienen que pasar estos datos (aunque sean aproximados):</w:t>
      </w:r>
    </w:p>
    <w:p>
      <w:pPr>
        <w:pStyle w:val="ListParagraph"/>
        <w:numPr>
          <w:ilvl w:val="0"/>
          <w:numId w:val="2"/>
        </w:numPr>
        <w:spacing w:after="100" w:line="300"/>
      </w:pPr>
      <w:r>
        <w:rPr>
          <w:rFonts w:ascii="Arial" w:cs="Arial" w:eastAsia="Arial" w:hAnsi="Arial"/>
          <w:color w:val="C00000"/>
        </w:rPr>
        <w:t xml:space="preserve">Tickets por día de la tarde (16 a 20) en verano. Si pueden separar cuántos son para llevar, mejor.</w:t>
      </w:r>
    </w:p>
    <w:p>
      <w:pPr>
        <w:pStyle w:val="ListParagraph"/>
        <w:numPr>
          <w:ilvl w:val="0"/>
          <w:numId w:val="2"/>
        </w:numPr>
        <w:spacing w:after="100" w:line="300"/>
      </w:pPr>
      <w:r>
        <w:rPr>
          <w:rFonts w:ascii="Arial" w:cs="Arial" w:eastAsia="Arial" w:hAnsi="Arial"/>
          <w:color w:val="C00000"/>
        </w:rPr>
        <w:t xml:space="preserve">Precio estimado del trago. ¿Tienen una idea, aunque sea un rango?</w:t>
      </w:r>
    </w:p>
    <w:p>
      <w:pPr>
        <w:pStyle w:val="ListParagraph"/>
        <w:numPr>
          <w:ilvl w:val="0"/>
          <w:numId w:val="2"/>
        </w:numPr>
        <w:spacing w:after="100" w:line="300"/>
      </w:pPr>
      <w:r>
        <w:rPr>
          <w:rFonts w:ascii="Arial" w:cs="Arial" w:eastAsia="Arial" w:hAnsi="Arial"/>
          <w:color w:val="C00000"/>
        </w:rPr>
        <w:t xml:space="preserve">Cuánto vende hoy SAUCO por día en verano, para compararlo con los USD 1.500 del promedio.</w:t>
      </w:r>
    </w:p>
    <w:p>
      <w:pPr>
        <w:pStyle w:val="ListParagraph"/>
        <w:numPr>
          <w:ilvl w:val="0"/>
          <w:numId w:val="2"/>
        </w:numPr>
        <w:spacing w:after="100" w:line="300"/>
      </w:pPr>
      <w:r>
        <w:rPr>
          <w:rFonts w:ascii="Arial" w:cs="Arial" w:eastAsia="Arial" w:hAnsi="Arial"/>
          <w:color w:val="C00000"/>
        </w:rPr>
        <w:t xml:space="preserve">Cuánto cae la tarde en verano respecto del resto del año. Sirve para mostrar el techo de lo que se pierde hoy.</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50"/>
        <w:gridCol w:w="1050"/>
        <w:gridCol w:w="900"/>
        <w:gridCol w:w="1100"/>
        <w:gridCol w:w="950"/>
        <w:gridCol w:w="900"/>
        <w:gridCol w:w="1476"/>
        <w:gridCol w:w="1400"/>
      </w:tblGrid>
      <w:tr>
        <w:trPr>
          <w:tblHeader/>
        </w:trPr>
        <w:tc>
          <w:tcPr>
            <w:tcW w:type="dxa" w:w="1250"/>
            <w:tcBorders>
              <w:top w:val="single" w:color="BFC7D5" w:sz="4"/>
              <w:left w:val="single" w:color="BFC7D5" w:sz="4"/>
              <w:bottom w:val="single" w:color="BFC7D5" w:sz="4"/>
              <w:right w:val="single" w:color="BFC7D5" w:sz="4"/>
            </w:tcBorders>
            <w:shd w:fill="1F3864" w:color="auto" w:val="clear"/>
            <w:tcMar>
              <w:top w:type="dxa" w:w="80"/>
              <w:left w:type="dxa" w:w="120"/>
              <w:bottom w:type="dxa" w:w="80"/>
              <w:right w:type="dxa" w:w="120"/>
            </w:tcMar>
            <w:vAlign w:val="center"/>
          </w:tcPr>
          <w:p>
            <w:pPr>
              <w:jc w:val="left"/>
            </w:pPr>
            <w:r>
              <w:rPr>
                <w:rFonts w:ascii="Arial" w:cs="Arial" w:eastAsia="Arial" w:hAnsi="Arial"/>
                <w:b/>
                <w:bCs/>
                <w:color w:val="FFFFFF"/>
                <w:sz w:val="21"/>
                <w:szCs w:val="21"/>
              </w:rPr>
              <w:t xml:space="preserve">Escenario</w:t>
            </w:r>
          </w:p>
        </w:tc>
        <w:tc>
          <w:tcPr>
            <w:tcW w:type="dxa" w:w="1050"/>
            <w:tcBorders>
              <w:top w:val="single" w:color="BFC7D5" w:sz="4"/>
              <w:left w:val="single" w:color="BFC7D5" w:sz="4"/>
              <w:bottom w:val="single" w:color="BFC7D5" w:sz="4"/>
              <w:right w:val="single" w:color="BFC7D5" w:sz="4"/>
            </w:tcBorders>
            <w:shd w:fill="1F3864" w:color="auto" w:val="clear"/>
            <w:tcMar>
              <w:top w:type="dxa" w:w="80"/>
              <w:left w:type="dxa" w:w="120"/>
              <w:bottom w:type="dxa" w:w="80"/>
              <w:right w:type="dxa" w:w="120"/>
            </w:tcMar>
            <w:vAlign w:val="center"/>
          </w:tcPr>
          <w:p>
            <w:pPr>
              <w:jc w:val="center"/>
            </w:pPr>
            <w:r>
              <w:rPr>
                <w:rFonts w:ascii="Arial" w:cs="Arial" w:eastAsia="Arial" w:hAnsi="Arial"/>
                <w:b/>
                <w:bCs/>
                <w:color w:val="FFFFFF"/>
                <w:sz w:val="21"/>
                <w:szCs w:val="21"/>
              </w:rPr>
              <w:t xml:space="preserve">Tickets de la tarde</w:t>
            </w:r>
          </w:p>
        </w:tc>
        <w:tc>
          <w:tcPr>
            <w:tcW w:type="dxa" w:w="900"/>
            <w:tcBorders>
              <w:top w:val="single" w:color="BFC7D5" w:sz="4"/>
              <w:left w:val="single" w:color="BFC7D5" w:sz="4"/>
              <w:bottom w:val="single" w:color="BFC7D5" w:sz="4"/>
              <w:right w:val="single" w:color="BFC7D5" w:sz="4"/>
            </w:tcBorders>
            <w:shd w:fill="1F3864" w:color="auto" w:val="clear"/>
            <w:tcMar>
              <w:top w:type="dxa" w:w="80"/>
              <w:left w:type="dxa" w:w="120"/>
              <w:bottom w:type="dxa" w:w="80"/>
              <w:right w:type="dxa" w:w="120"/>
            </w:tcMar>
            <w:vAlign w:val="center"/>
          </w:tcPr>
          <w:p>
            <w:pPr>
              <w:jc w:val="center"/>
            </w:pPr>
            <w:r>
              <w:rPr>
                <w:rFonts w:ascii="Arial" w:cs="Arial" w:eastAsia="Arial" w:hAnsi="Arial"/>
                <w:b/>
                <w:bCs/>
                <w:color w:val="FFFFFF"/>
                <w:sz w:val="21"/>
                <w:szCs w:val="21"/>
              </w:rPr>
              <w:t xml:space="preserve">% que pide</w:t>
            </w:r>
          </w:p>
        </w:tc>
        <w:tc>
          <w:tcPr>
            <w:tcW w:type="dxa" w:w="1100"/>
            <w:tcBorders>
              <w:top w:val="single" w:color="BFC7D5" w:sz="4"/>
              <w:left w:val="single" w:color="BFC7D5" w:sz="4"/>
              <w:bottom w:val="single" w:color="BFC7D5" w:sz="4"/>
              <w:right w:val="single" w:color="BFC7D5" w:sz="4"/>
            </w:tcBorders>
            <w:shd w:fill="1F3864" w:color="auto" w:val="clear"/>
            <w:tcMar>
              <w:top w:type="dxa" w:w="80"/>
              <w:left w:type="dxa" w:w="120"/>
              <w:bottom w:type="dxa" w:w="80"/>
              <w:right w:type="dxa" w:w="120"/>
            </w:tcMar>
            <w:vAlign w:val="center"/>
          </w:tcPr>
          <w:p>
            <w:pPr>
              <w:jc w:val="center"/>
            </w:pPr>
            <w:r>
              <w:rPr>
                <w:rFonts w:ascii="Arial" w:cs="Arial" w:eastAsia="Arial" w:hAnsi="Arial"/>
                <w:b/>
                <w:bCs/>
                <w:color w:val="FFFFFF"/>
                <w:sz w:val="21"/>
                <w:szCs w:val="21"/>
              </w:rPr>
              <w:t xml:space="preserve">Clientes nuevos por día</w:t>
            </w:r>
          </w:p>
        </w:tc>
        <w:tc>
          <w:tcPr>
            <w:tcW w:type="dxa" w:w="950"/>
            <w:tcBorders>
              <w:top w:val="single" w:color="BFC7D5" w:sz="4"/>
              <w:left w:val="single" w:color="BFC7D5" w:sz="4"/>
              <w:bottom w:val="single" w:color="BFC7D5" w:sz="4"/>
              <w:right w:val="single" w:color="BFC7D5" w:sz="4"/>
            </w:tcBorders>
            <w:shd w:fill="1F3864" w:color="auto" w:val="clear"/>
            <w:tcMar>
              <w:top w:type="dxa" w:w="80"/>
              <w:left w:type="dxa" w:w="120"/>
              <w:bottom w:type="dxa" w:w="80"/>
              <w:right w:type="dxa" w:w="120"/>
            </w:tcMar>
            <w:vAlign w:val="center"/>
          </w:tcPr>
          <w:p>
            <w:pPr>
              <w:jc w:val="center"/>
            </w:pPr>
            <w:r>
              <w:rPr>
                <w:rFonts w:ascii="Arial" w:cs="Arial" w:eastAsia="Arial" w:hAnsi="Arial"/>
                <w:b/>
                <w:bCs/>
                <w:color w:val="FFFFFF"/>
                <w:sz w:val="21"/>
                <w:szCs w:val="21"/>
              </w:rPr>
              <w:t xml:space="preserve">Tragos por día</w:t>
            </w:r>
          </w:p>
        </w:tc>
        <w:tc>
          <w:tcPr>
            <w:tcW w:type="dxa" w:w="900"/>
            <w:tcBorders>
              <w:top w:val="single" w:color="BFC7D5" w:sz="4"/>
              <w:left w:val="single" w:color="BFC7D5" w:sz="4"/>
              <w:bottom w:val="single" w:color="BFC7D5" w:sz="4"/>
              <w:right w:val="single" w:color="BFC7D5" w:sz="4"/>
            </w:tcBorders>
            <w:shd w:fill="1F3864" w:color="auto" w:val="clear"/>
            <w:tcMar>
              <w:top w:type="dxa" w:w="80"/>
              <w:left w:type="dxa" w:w="120"/>
              <w:bottom w:type="dxa" w:w="80"/>
              <w:right w:type="dxa" w:w="120"/>
            </w:tcMar>
            <w:vAlign w:val="center"/>
          </w:tcPr>
          <w:p>
            <w:pPr>
              <w:jc w:val="center"/>
            </w:pPr>
            <w:r>
              <w:rPr>
                <w:rFonts w:ascii="Arial" w:cs="Arial" w:eastAsia="Arial" w:hAnsi="Arial"/>
                <w:b/>
                <w:bCs/>
                <w:color w:val="FFFFFF"/>
                <w:sz w:val="21"/>
                <w:szCs w:val="21"/>
              </w:rPr>
              <w:t xml:space="preserve">Precio (USD)</w:t>
            </w:r>
          </w:p>
        </w:tc>
        <w:tc>
          <w:tcPr>
            <w:tcW w:type="dxa" w:w="1476"/>
            <w:tcBorders>
              <w:top w:val="single" w:color="BFC7D5" w:sz="4"/>
              <w:left w:val="single" w:color="BFC7D5" w:sz="4"/>
              <w:bottom w:val="single" w:color="BFC7D5" w:sz="4"/>
              <w:right w:val="single" w:color="BFC7D5" w:sz="4"/>
            </w:tcBorders>
            <w:shd w:fill="1F3864" w:color="auto" w:val="clear"/>
            <w:tcMar>
              <w:top w:type="dxa" w:w="80"/>
              <w:left w:type="dxa" w:w="120"/>
              <w:bottom w:type="dxa" w:w="80"/>
              <w:right w:type="dxa" w:w="120"/>
            </w:tcMar>
            <w:vAlign w:val="center"/>
          </w:tcPr>
          <w:p>
            <w:pPr>
              <w:jc w:val="center"/>
            </w:pPr>
            <w:r>
              <w:rPr>
                <w:rFonts w:ascii="Arial" w:cs="Arial" w:eastAsia="Arial" w:hAnsi="Arial"/>
                <w:b/>
                <w:bCs/>
                <w:color w:val="FFFFFF"/>
                <w:sz w:val="21"/>
                <w:szCs w:val="21"/>
              </w:rPr>
              <w:t xml:space="preserve">Ventas en el verano (USD)</w:t>
            </w:r>
          </w:p>
        </w:tc>
        <w:tc>
          <w:tcPr>
            <w:tcW w:type="dxa" w:w="1400"/>
            <w:tcBorders>
              <w:top w:val="single" w:color="BFC7D5" w:sz="4"/>
              <w:left w:val="single" w:color="BFC7D5" w:sz="4"/>
              <w:bottom w:val="single" w:color="BFC7D5" w:sz="4"/>
              <w:right w:val="single" w:color="BFC7D5" w:sz="4"/>
            </w:tcBorders>
            <w:shd w:fill="1F3864" w:color="auto" w:val="clear"/>
            <w:tcMar>
              <w:top w:type="dxa" w:w="80"/>
              <w:left w:type="dxa" w:w="120"/>
              <w:bottom w:type="dxa" w:w="80"/>
              <w:right w:type="dxa" w:w="120"/>
            </w:tcMar>
            <w:vAlign w:val="center"/>
          </w:tcPr>
          <w:p>
            <w:pPr>
              <w:jc w:val="center"/>
            </w:pPr>
            <w:r>
              <w:rPr>
                <w:rFonts w:ascii="Arial" w:cs="Arial" w:eastAsia="Arial" w:hAnsi="Arial"/>
                <w:b/>
                <w:bCs/>
                <w:color w:val="FFFFFF"/>
                <w:sz w:val="21"/>
                <w:szCs w:val="21"/>
              </w:rPr>
              <w:t xml:space="preserve">% del mercado (USD 1.500.000)</w:t>
            </w:r>
          </w:p>
        </w:tc>
      </w:tr>
      <w:tr>
        <w:tc>
          <w:tcPr>
            <w:tcW w:type="dxa" w:w="1250"/>
            <w:tcBorders>
              <w:top w:val="single" w:color="BFC7D5" w:sz="4"/>
              <w:left w:val="single" w:color="BFC7D5" w:sz="4"/>
              <w:bottom w:val="single" w:color="BFC7D5" w:sz="4"/>
              <w:right w:val="single" w:color="BFC7D5" w:sz="4"/>
            </w:tcBorders>
            <w:tcMar>
              <w:top w:type="dxa" w:w="80"/>
              <w:left w:type="dxa" w:w="120"/>
              <w:bottom w:type="dxa" w:w="80"/>
              <w:right w:type="dxa" w:w="120"/>
            </w:tcMar>
            <w:vAlign w:val="center"/>
          </w:tcPr>
          <w:p>
            <w:pPr>
              <w:jc w:val="left"/>
            </w:pPr>
            <w:r>
              <w:rPr>
                <w:rFonts w:ascii="Arial" w:cs="Arial" w:eastAsia="Arial" w:hAnsi="Arial"/>
                <w:sz w:val="21"/>
                <w:szCs w:val="21"/>
              </w:rPr>
              <w:t xml:space="preserve">Conservador</w:t>
            </w:r>
          </w:p>
        </w:tc>
        <w:tc>
          <w:tcPr>
            <w:tcW w:type="dxa" w:w="1050"/>
            <w:tcBorders>
              <w:top w:val="single" w:color="BFC7D5" w:sz="4"/>
              <w:left w:val="single" w:color="BFC7D5" w:sz="4"/>
              <w:bottom w:val="single" w:color="BFC7D5" w:sz="4"/>
              <w:right w:val="single" w:color="BFC7D5" w:sz="4"/>
            </w:tcBorders>
            <w:tcMar>
              <w:top w:type="dxa" w:w="80"/>
              <w:left w:type="dxa" w:w="120"/>
              <w:bottom w:type="dxa" w:w="80"/>
              <w:right w:type="dxa" w:w="120"/>
            </w:tcMar>
            <w:vAlign w:val="center"/>
          </w:tcPr>
          <w:p>
            <w:pPr>
              <w:jc w:val="center"/>
            </w:pPr>
            <w:r>
              <w:rPr>
                <w:rFonts w:ascii="Arial" w:cs="Arial" w:eastAsia="Arial" w:hAnsi="Arial"/>
                <w:sz w:val="21"/>
                <w:szCs w:val="21"/>
                <w:highlight w:val="yellow"/>
              </w:rPr>
              <w:t xml:space="preserve">[ ]</w:t>
            </w:r>
          </w:p>
        </w:tc>
        <w:tc>
          <w:tcPr>
            <w:tcW w:type="dxa" w:w="900"/>
            <w:tcBorders>
              <w:top w:val="single" w:color="BFC7D5" w:sz="4"/>
              <w:left w:val="single" w:color="BFC7D5" w:sz="4"/>
              <w:bottom w:val="single" w:color="BFC7D5" w:sz="4"/>
              <w:right w:val="single" w:color="BFC7D5" w:sz="4"/>
            </w:tcBorders>
            <w:tcMar>
              <w:top w:type="dxa" w:w="80"/>
              <w:left w:type="dxa" w:w="120"/>
              <w:bottom w:type="dxa" w:w="80"/>
              <w:right w:type="dxa" w:w="120"/>
            </w:tcMar>
            <w:vAlign w:val="center"/>
          </w:tcPr>
          <w:p>
            <w:pPr>
              <w:jc w:val="center"/>
            </w:pPr>
            <w:r>
              <w:rPr>
                <w:rFonts w:ascii="Arial" w:cs="Arial" w:eastAsia="Arial" w:hAnsi="Arial"/>
                <w:sz w:val="21"/>
                <w:szCs w:val="21"/>
                <w:highlight w:val="yellow"/>
              </w:rPr>
              <w:t xml:space="preserve">[ ]</w:t>
            </w:r>
          </w:p>
        </w:tc>
        <w:tc>
          <w:tcPr>
            <w:tcW w:type="dxa" w:w="1100"/>
            <w:tcBorders>
              <w:top w:val="single" w:color="BFC7D5" w:sz="4"/>
              <w:left w:val="single" w:color="BFC7D5" w:sz="4"/>
              <w:bottom w:val="single" w:color="BFC7D5" w:sz="4"/>
              <w:right w:val="single" w:color="BFC7D5" w:sz="4"/>
            </w:tcBorders>
            <w:tcMar>
              <w:top w:type="dxa" w:w="80"/>
              <w:left w:type="dxa" w:w="120"/>
              <w:bottom w:type="dxa" w:w="80"/>
              <w:right w:type="dxa" w:w="120"/>
            </w:tcMar>
            <w:vAlign w:val="center"/>
          </w:tcPr>
          <w:p>
            <w:pPr>
              <w:jc w:val="center"/>
            </w:pPr>
            <w:r>
              <w:rPr>
                <w:rFonts w:ascii="Arial" w:cs="Arial" w:eastAsia="Arial" w:hAnsi="Arial"/>
                <w:sz w:val="21"/>
                <w:szCs w:val="21"/>
                <w:highlight w:val="yellow"/>
              </w:rPr>
              <w:t xml:space="preserve">[ ]</w:t>
            </w:r>
          </w:p>
        </w:tc>
        <w:tc>
          <w:tcPr>
            <w:tcW w:type="dxa" w:w="950"/>
            <w:tcBorders>
              <w:top w:val="single" w:color="BFC7D5" w:sz="4"/>
              <w:left w:val="single" w:color="BFC7D5" w:sz="4"/>
              <w:bottom w:val="single" w:color="BFC7D5" w:sz="4"/>
              <w:right w:val="single" w:color="BFC7D5" w:sz="4"/>
            </w:tcBorders>
            <w:tcMar>
              <w:top w:type="dxa" w:w="80"/>
              <w:left w:type="dxa" w:w="120"/>
              <w:bottom w:type="dxa" w:w="80"/>
              <w:right w:type="dxa" w:w="120"/>
            </w:tcMar>
            <w:vAlign w:val="center"/>
          </w:tcPr>
          <w:p>
            <w:pPr>
              <w:jc w:val="center"/>
            </w:pPr>
            <w:r>
              <w:rPr>
                <w:rFonts w:ascii="Arial" w:cs="Arial" w:eastAsia="Arial" w:hAnsi="Arial"/>
                <w:sz w:val="21"/>
                <w:szCs w:val="21"/>
                <w:highlight w:val="yellow"/>
              </w:rPr>
              <w:t xml:space="preserve">[ ]</w:t>
            </w:r>
          </w:p>
        </w:tc>
        <w:tc>
          <w:tcPr>
            <w:tcW w:type="dxa" w:w="900"/>
            <w:tcBorders>
              <w:top w:val="single" w:color="BFC7D5" w:sz="4"/>
              <w:left w:val="single" w:color="BFC7D5" w:sz="4"/>
              <w:bottom w:val="single" w:color="BFC7D5" w:sz="4"/>
              <w:right w:val="single" w:color="BFC7D5" w:sz="4"/>
            </w:tcBorders>
            <w:tcMar>
              <w:top w:type="dxa" w:w="80"/>
              <w:left w:type="dxa" w:w="120"/>
              <w:bottom w:type="dxa" w:w="80"/>
              <w:right w:type="dxa" w:w="120"/>
            </w:tcMar>
            <w:vAlign w:val="center"/>
          </w:tcPr>
          <w:p>
            <w:pPr>
              <w:jc w:val="center"/>
            </w:pPr>
            <w:r>
              <w:rPr>
                <w:rFonts w:ascii="Arial" w:cs="Arial" w:eastAsia="Arial" w:hAnsi="Arial"/>
                <w:sz w:val="21"/>
                <w:szCs w:val="21"/>
                <w:highlight w:val="yellow"/>
              </w:rPr>
              <w:t xml:space="preserve">[ ]</w:t>
            </w:r>
          </w:p>
        </w:tc>
        <w:tc>
          <w:tcPr>
            <w:tcW w:type="dxa" w:w="1476"/>
            <w:tcBorders>
              <w:top w:val="single" w:color="BFC7D5" w:sz="4"/>
              <w:left w:val="single" w:color="BFC7D5" w:sz="4"/>
              <w:bottom w:val="single" w:color="BFC7D5" w:sz="4"/>
              <w:right w:val="single" w:color="BFC7D5" w:sz="4"/>
            </w:tcBorders>
            <w:tcMar>
              <w:top w:type="dxa" w:w="80"/>
              <w:left w:type="dxa" w:w="120"/>
              <w:bottom w:type="dxa" w:w="80"/>
              <w:right w:type="dxa" w:w="120"/>
            </w:tcMar>
            <w:vAlign w:val="center"/>
          </w:tcPr>
          <w:p>
            <w:pPr>
              <w:jc w:val="center"/>
            </w:pPr>
            <w:r>
              <w:rPr>
                <w:rFonts w:ascii="Arial" w:cs="Arial" w:eastAsia="Arial" w:hAnsi="Arial"/>
                <w:sz w:val="21"/>
                <w:szCs w:val="21"/>
                <w:highlight w:val="yellow"/>
              </w:rPr>
              <w:t xml:space="preserve">[ ]</w:t>
            </w:r>
          </w:p>
        </w:tc>
        <w:tc>
          <w:tcPr>
            <w:tcW w:type="dxa" w:w="1400"/>
            <w:tcBorders>
              <w:top w:val="single" w:color="BFC7D5" w:sz="4"/>
              <w:left w:val="single" w:color="BFC7D5" w:sz="4"/>
              <w:bottom w:val="single" w:color="BFC7D5" w:sz="4"/>
              <w:right w:val="single" w:color="BFC7D5" w:sz="4"/>
            </w:tcBorders>
            <w:tcMar>
              <w:top w:type="dxa" w:w="80"/>
              <w:left w:type="dxa" w:w="120"/>
              <w:bottom w:type="dxa" w:w="80"/>
              <w:right w:type="dxa" w:w="120"/>
            </w:tcMar>
            <w:vAlign w:val="center"/>
          </w:tcPr>
          <w:p>
            <w:pPr>
              <w:jc w:val="center"/>
            </w:pPr>
            <w:r>
              <w:rPr>
                <w:rFonts w:ascii="Arial" w:cs="Arial" w:eastAsia="Arial" w:hAnsi="Arial"/>
                <w:sz w:val="21"/>
                <w:szCs w:val="21"/>
                <w:highlight w:val="yellow"/>
              </w:rPr>
              <w:t xml:space="preserve">[ ]</w:t>
            </w:r>
          </w:p>
        </w:tc>
      </w:tr>
      <w:tr>
        <w:tc>
          <w:tcPr>
            <w:tcW w:type="dxa" w:w="1250"/>
            <w:tcBorders>
              <w:top w:val="single" w:color="BFC7D5" w:sz="4"/>
              <w:left w:val="single" w:color="BFC7D5" w:sz="4"/>
              <w:bottom w:val="single" w:color="BFC7D5" w:sz="4"/>
              <w:right w:val="single" w:color="BFC7D5" w:sz="4"/>
            </w:tcBorders>
            <w:shd w:fill="F3F6FB" w:color="auto" w:val="clear"/>
            <w:tcMar>
              <w:top w:type="dxa" w:w="80"/>
              <w:left w:type="dxa" w:w="120"/>
              <w:bottom w:type="dxa" w:w="80"/>
              <w:right w:type="dxa" w:w="120"/>
            </w:tcMar>
            <w:vAlign w:val="center"/>
          </w:tcPr>
          <w:p>
            <w:pPr>
              <w:jc w:val="left"/>
            </w:pPr>
            <w:r>
              <w:rPr>
                <w:rFonts w:ascii="Arial" w:cs="Arial" w:eastAsia="Arial" w:hAnsi="Arial"/>
                <w:sz w:val="21"/>
                <w:szCs w:val="21"/>
              </w:rPr>
              <w:t xml:space="preserve">Base</w:t>
            </w:r>
          </w:p>
        </w:tc>
        <w:tc>
          <w:tcPr>
            <w:tcW w:type="dxa" w:w="1050"/>
            <w:tcBorders>
              <w:top w:val="single" w:color="BFC7D5" w:sz="4"/>
              <w:left w:val="single" w:color="BFC7D5" w:sz="4"/>
              <w:bottom w:val="single" w:color="BFC7D5" w:sz="4"/>
              <w:right w:val="single" w:color="BFC7D5" w:sz="4"/>
            </w:tcBorders>
            <w:shd w:fill="F3F6FB" w:color="auto" w:val="clear"/>
            <w:tcMar>
              <w:top w:type="dxa" w:w="80"/>
              <w:left w:type="dxa" w:w="120"/>
              <w:bottom w:type="dxa" w:w="80"/>
              <w:right w:type="dxa" w:w="120"/>
            </w:tcMar>
            <w:vAlign w:val="center"/>
          </w:tcPr>
          <w:p>
            <w:pPr>
              <w:jc w:val="center"/>
            </w:pPr>
            <w:r>
              <w:rPr>
                <w:rFonts w:ascii="Arial" w:cs="Arial" w:eastAsia="Arial" w:hAnsi="Arial"/>
                <w:sz w:val="21"/>
                <w:szCs w:val="21"/>
                <w:highlight w:val="yellow"/>
              </w:rPr>
              <w:t xml:space="preserve">[ ]</w:t>
            </w:r>
          </w:p>
        </w:tc>
        <w:tc>
          <w:tcPr>
            <w:tcW w:type="dxa" w:w="900"/>
            <w:tcBorders>
              <w:top w:val="single" w:color="BFC7D5" w:sz="4"/>
              <w:left w:val="single" w:color="BFC7D5" w:sz="4"/>
              <w:bottom w:val="single" w:color="BFC7D5" w:sz="4"/>
              <w:right w:val="single" w:color="BFC7D5" w:sz="4"/>
            </w:tcBorders>
            <w:shd w:fill="F3F6FB" w:color="auto" w:val="clear"/>
            <w:tcMar>
              <w:top w:type="dxa" w:w="80"/>
              <w:left w:type="dxa" w:w="120"/>
              <w:bottom w:type="dxa" w:w="80"/>
              <w:right w:type="dxa" w:w="120"/>
            </w:tcMar>
            <w:vAlign w:val="center"/>
          </w:tcPr>
          <w:p>
            <w:pPr>
              <w:jc w:val="center"/>
            </w:pPr>
            <w:r>
              <w:rPr>
                <w:rFonts w:ascii="Arial" w:cs="Arial" w:eastAsia="Arial" w:hAnsi="Arial"/>
                <w:sz w:val="21"/>
                <w:szCs w:val="21"/>
                <w:highlight w:val="yellow"/>
              </w:rPr>
              <w:t xml:space="preserve">[ ]</w:t>
            </w:r>
          </w:p>
        </w:tc>
        <w:tc>
          <w:tcPr>
            <w:tcW w:type="dxa" w:w="1100"/>
            <w:tcBorders>
              <w:top w:val="single" w:color="BFC7D5" w:sz="4"/>
              <w:left w:val="single" w:color="BFC7D5" w:sz="4"/>
              <w:bottom w:val="single" w:color="BFC7D5" w:sz="4"/>
              <w:right w:val="single" w:color="BFC7D5" w:sz="4"/>
            </w:tcBorders>
            <w:shd w:fill="F3F6FB" w:color="auto" w:val="clear"/>
            <w:tcMar>
              <w:top w:type="dxa" w:w="80"/>
              <w:left w:type="dxa" w:w="120"/>
              <w:bottom w:type="dxa" w:w="80"/>
              <w:right w:type="dxa" w:w="120"/>
            </w:tcMar>
            <w:vAlign w:val="center"/>
          </w:tcPr>
          <w:p>
            <w:pPr>
              <w:jc w:val="center"/>
            </w:pPr>
            <w:r>
              <w:rPr>
                <w:rFonts w:ascii="Arial" w:cs="Arial" w:eastAsia="Arial" w:hAnsi="Arial"/>
                <w:sz w:val="21"/>
                <w:szCs w:val="21"/>
                <w:highlight w:val="yellow"/>
              </w:rPr>
              <w:t xml:space="preserve">[ ]</w:t>
            </w:r>
          </w:p>
        </w:tc>
        <w:tc>
          <w:tcPr>
            <w:tcW w:type="dxa" w:w="950"/>
            <w:tcBorders>
              <w:top w:val="single" w:color="BFC7D5" w:sz="4"/>
              <w:left w:val="single" w:color="BFC7D5" w:sz="4"/>
              <w:bottom w:val="single" w:color="BFC7D5" w:sz="4"/>
              <w:right w:val="single" w:color="BFC7D5" w:sz="4"/>
            </w:tcBorders>
            <w:shd w:fill="F3F6FB" w:color="auto" w:val="clear"/>
            <w:tcMar>
              <w:top w:type="dxa" w:w="80"/>
              <w:left w:type="dxa" w:w="120"/>
              <w:bottom w:type="dxa" w:w="80"/>
              <w:right w:type="dxa" w:w="120"/>
            </w:tcMar>
            <w:vAlign w:val="center"/>
          </w:tcPr>
          <w:p>
            <w:pPr>
              <w:jc w:val="center"/>
            </w:pPr>
            <w:r>
              <w:rPr>
                <w:rFonts w:ascii="Arial" w:cs="Arial" w:eastAsia="Arial" w:hAnsi="Arial"/>
                <w:sz w:val="21"/>
                <w:szCs w:val="21"/>
                <w:highlight w:val="yellow"/>
              </w:rPr>
              <w:t xml:space="preserve">[ ]</w:t>
            </w:r>
          </w:p>
        </w:tc>
        <w:tc>
          <w:tcPr>
            <w:tcW w:type="dxa" w:w="900"/>
            <w:tcBorders>
              <w:top w:val="single" w:color="BFC7D5" w:sz="4"/>
              <w:left w:val="single" w:color="BFC7D5" w:sz="4"/>
              <w:bottom w:val="single" w:color="BFC7D5" w:sz="4"/>
              <w:right w:val="single" w:color="BFC7D5" w:sz="4"/>
            </w:tcBorders>
            <w:shd w:fill="F3F6FB" w:color="auto" w:val="clear"/>
            <w:tcMar>
              <w:top w:type="dxa" w:w="80"/>
              <w:left w:type="dxa" w:w="120"/>
              <w:bottom w:type="dxa" w:w="80"/>
              <w:right w:type="dxa" w:w="120"/>
            </w:tcMar>
            <w:vAlign w:val="center"/>
          </w:tcPr>
          <w:p>
            <w:pPr>
              <w:jc w:val="center"/>
            </w:pPr>
            <w:r>
              <w:rPr>
                <w:rFonts w:ascii="Arial" w:cs="Arial" w:eastAsia="Arial" w:hAnsi="Arial"/>
                <w:sz w:val="21"/>
                <w:szCs w:val="21"/>
                <w:highlight w:val="yellow"/>
              </w:rPr>
              <w:t xml:space="preserve">[ ]</w:t>
            </w:r>
          </w:p>
        </w:tc>
        <w:tc>
          <w:tcPr>
            <w:tcW w:type="dxa" w:w="1476"/>
            <w:tcBorders>
              <w:top w:val="single" w:color="BFC7D5" w:sz="4"/>
              <w:left w:val="single" w:color="BFC7D5" w:sz="4"/>
              <w:bottom w:val="single" w:color="BFC7D5" w:sz="4"/>
              <w:right w:val="single" w:color="BFC7D5" w:sz="4"/>
            </w:tcBorders>
            <w:shd w:fill="F3F6FB" w:color="auto" w:val="clear"/>
            <w:tcMar>
              <w:top w:type="dxa" w:w="80"/>
              <w:left w:type="dxa" w:w="120"/>
              <w:bottom w:type="dxa" w:w="80"/>
              <w:right w:type="dxa" w:w="120"/>
            </w:tcMar>
            <w:vAlign w:val="center"/>
          </w:tcPr>
          <w:p>
            <w:pPr>
              <w:jc w:val="center"/>
            </w:pPr>
            <w:r>
              <w:rPr>
                <w:rFonts w:ascii="Arial" w:cs="Arial" w:eastAsia="Arial" w:hAnsi="Arial"/>
                <w:sz w:val="21"/>
                <w:szCs w:val="21"/>
                <w:highlight w:val="yellow"/>
              </w:rPr>
              <w:t xml:space="preserve">[ ]</w:t>
            </w:r>
          </w:p>
        </w:tc>
        <w:tc>
          <w:tcPr>
            <w:tcW w:type="dxa" w:w="1400"/>
            <w:tcBorders>
              <w:top w:val="single" w:color="BFC7D5" w:sz="4"/>
              <w:left w:val="single" w:color="BFC7D5" w:sz="4"/>
              <w:bottom w:val="single" w:color="BFC7D5" w:sz="4"/>
              <w:right w:val="single" w:color="BFC7D5" w:sz="4"/>
            </w:tcBorders>
            <w:shd w:fill="F3F6FB" w:color="auto" w:val="clear"/>
            <w:tcMar>
              <w:top w:type="dxa" w:w="80"/>
              <w:left w:type="dxa" w:w="120"/>
              <w:bottom w:type="dxa" w:w="80"/>
              <w:right w:type="dxa" w:w="120"/>
            </w:tcMar>
            <w:vAlign w:val="center"/>
          </w:tcPr>
          <w:p>
            <w:pPr>
              <w:jc w:val="center"/>
            </w:pPr>
            <w:r>
              <w:rPr>
                <w:rFonts w:ascii="Arial" w:cs="Arial" w:eastAsia="Arial" w:hAnsi="Arial"/>
                <w:sz w:val="21"/>
                <w:szCs w:val="21"/>
                <w:highlight w:val="yellow"/>
              </w:rPr>
              <w:t xml:space="preserve">[ ]</w:t>
            </w:r>
          </w:p>
        </w:tc>
      </w:tr>
      <w:tr>
        <w:tc>
          <w:tcPr>
            <w:tcW w:type="dxa" w:w="1250"/>
            <w:tcBorders>
              <w:top w:val="single" w:color="BFC7D5" w:sz="4"/>
              <w:left w:val="single" w:color="BFC7D5" w:sz="4"/>
              <w:bottom w:val="single" w:color="BFC7D5" w:sz="4"/>
              <w:right w:val="single" w:color="BFC7D5" w:sz="4"/>
            </w:tcBorders>
            <w:tcMar>
              <w:top w:type="dxa" w:w="80"/>
              <w:left w:type="dxa" w:w="120"/>
              <w:bottom w:type="dxa" w:w="80"/>
              <w:right w:type="dxa" w:w="120"/>
            </w:tcMar>
            <w:vAlign w:val="center"/>
          </w:tcPr>
          <w:p>
            <w:pPr>
              <w:jc w:val="left"/>
            </w:pPr>
            <w:r>
              <w:rPr>
                <w:rFonts w:ascii="Arial" w:cs="Arial" w:eastAsia="Arial" w:hAnsi="Arial"/>
                <w:sz w:val="21"/>
                <w:szCs w:val="21"/>
              </w:rPr>
              <w:t xml:space="preserve">Optimista</w:t>
            </w:r>
          </w:p>
        </w:tc>
        <w:tc>
          <w:tcPr>
            <w:tcW w:type="dxa" w:w="1050"/>
            <w:tcBorders>
              <w:top w:val="single" w:color="BFC7D5" w:sz="4"/>
              <w:left w:val="single" w:color="BFC7D5" w:sz="4"/>
              <w:bottom w:val="single" w:color="BFC7D5" w:sz="4"/>
              <w:right w:val="single" w:color="BFC7D5" w:sz="4"/>
            </w:tcBorders>
            <w:tcMar>
              <w:top w:type="dxa" w:w="80"/>
              <w:left w:type="dxa" w:w="120"/>
              <w:bottom w:type="dxa" w:w="80"/>
              <w:right w:type="dxa" w:w="120"/>
            </w:tcMar>
            <w:vAlign w:val="center"/>
          </w:tcPr>
          <w:p>
            <w:pPr>
              <w:jc w:val="center"/>
            </w:pPr>
            <w:r>
              <w:rPr>
                <w:rFonts w:ascii="Arial" w:cs="Arial" w:eastAsia="Arial" w:hAnsi="Arial"/>
                <w:sz w:val="21"/>
                <w:szCs w:val="21"/>
                <w:highlight w:val="yellow"/>
              </w:rPr>
              <w:t xml:space="preserve">[ ]</w:t>
            </w:r>
          </w:p>
        </w:tc>
        <w:tc>
          <w:tcPr>
            <w:tcW w:type="dxa" w:w="900"/>
            <w:tcBorders>
              <w:top w:val="single" w:color="BFC7D5" w:sz="4"/>
              <w:left w:val="single" w:color="BFC7D5" w:sz="4"/>
              <w:bottom w:val="single" w:color="BFC7D5" w:sz="4"/>
              <w:right w:val="single" w:color="BFC7D5" w:sz="4"/>
            </w:tcBorders>
            <w:tcMar>
              <w:top w:type="dxa" w:w="80"/>
              <w:left w:type="dxa" w:w="120"/>
              <w:bottom w:type="dxa" w:w="80"/>
              <w:right w:type="dxa" w:w="120"/>
            </w:tcMar>
            <w:vAlign w:val="center"/>
          </w:tcPr>
          <w:p>
            <w:pPr>
              <w:jc w:val="center"/>
            </w:pPr>
            <w:r>
              <w:rPr>
                <w:rFonts w:ascii="Arial" w:cs="Arial" w:eastAsia="Arial" w:hAnsi="Arial"/>
                <w:sz w:val="21"/>
                <w:szCs w:val="21"/>
                <w:highlight w:val="yellow"/>
              </w:rPr>
              <w:t xml:space="preserve">[ ]</w:t>
            </w:r>
          </w:p>
        </w:tc>
        <w:tc>
          <w:tcPr>
            <w:tcW w:type="dxa" w:w="1100"/>
            <w:tcBorders>
              <w:top w:val="single" w:color="BFC7D5" w:sz="4"/>
              <w:left w:val="single" w:color="BFC7D5" w:sz="4"/>
              <w:bottom w:val="single" w:color="BFC7D5" w:sz="4"/>
              <w:right w:val="single" w:color="BFC7D5" w:sz="4"/>
            </w:tcBorders>
            <w:tcMar>
              <w:top w:type="dxa" w:w="80"/>
              <w:left w:type="dxa" w:w="120"/>
              <w:bottom w:type="dxa" w:w="80"/>
              <w:right w:type="dxa" w:w="120"/>
            </w:tcMar>
            <w:vAlign w:val="center"/>
          </w:tcPr>
          <w:p>
            <w:pPr>
              <w:jc w:val="center"/>
            </w:pPr>
            <w:r>
              <w:rPr>
                <w:rFonts w:ascii="Arial" w:cs="Arial" w:eastAsia="Arial" w:hAnsi="Arial"/>
                <w:sz w:val="21"/>
                <w:szCs w:val="21"/>
                <w:highlight w:val="yellow"/>
              </w:rPr>
              <w:t xml:space="preserve">[ ]</w:t>
            </w:r>
          </w:p>
        </w:tc>
        <w:tc>
          <w:tcPr>
            <w:tcW w:type="dxa" w:w="950"/>
            <w:tcBorders>
              <w:top w:val="single" w:color="BFC7D5" w:sz="4"/>
              <w:left w:val="single" w:color="BFC7D5" w:sz="4"/>
              <w:bottom w:val="single" w:color="BFC7D5" w:sz="4"/>
              <w:right w:val="single" w:color="BFC7D5" w:sz="4"/>
            </w:tcBorders>
            <w:tcMar>
              <w:top w:type="dxa" w:w="80"/>
              <w:left w:type="dxa" w:w="120"/>
              <w:bottom w:type="dxa" w:w="80"/>
              <w:right w:type="dxa" w:w="120"/>
            </w:tcMar>
            <w:vAlign w:val="center"/>
          </w:tcPr>
          <w:p>
            <w:pPr>
              <w:jc w:val="center"/>
            </w:pPr>
            <w:r>
              <w:rPr>
                <w:rFonts w:ascii="Arial" w:cs="Arial" w:eastAsia="Arial" w:hAnsi="Arial"/>
                <w:sz w:val="21"/>
                <w:szCs w:val="21"/>
                <w:highlight w:val="yellow"/>
              </w:rPr>
              <w:t xml:space="preserve">[ ]</w:t>
            </w:r>
          </w:p>
        </w:tc>
        <w:tc>
          <w:tcPr>
            <w:tcW w:type="dxa" w:w="900"/>
            <w:tcBorders>
              <w:top w:val="single" w:color="BFC7D5" w:sz="4"/>
              <w:left w:val="single" w:color="BFC7D5" w:sz="4"/>
              <w:bottom w:val="single" w:color="BFC7D5" w:sz="4"/>
              <w:right w:val="single" w:color="BFC7D5" w:sz="4"/>
            </w:tcBorders>
            <w:tcMar>
              <w:top w:type="dxa" w:w="80"/>
              <w:left w:type="dxa" w:w="120"/>
              <w:bottom w:type="dxa" w:w="80"/>
              <w:right w:type="dxa" w:w="120"/>
            </w:tcMar>
            <w:vAlign w:val="center"/>
          </w:tcPr>
          <w:p>
            <w:pPr>
              <w:jc w:val="center"/>
            </w:pPr>
            <w:r>
              <w:rPr>
                <w:rFonts w:ascii="Arial" w:cs="Arial" w:eastAsia="Arial" w:hAnsi="Arial"/>
                <w:sz w:val="21"/>
                <w:szCs w:val="21"/>
                <w:highlight w:val="yellow"/>
              </w:rPr>
              <w:t xml:space="preserve">[ ]</w:t>
            </w:r>
          </w:p>
        </w:tc>
        <w:tc>
          <w:tcPr>
            <w:tcW w:type="dxa" w:w="1476"/>
            <w:tcBorders>
              <w:top w:val="single" w:color="BFC7D5" w:sz="4"/>
              <w:left w:val="single" w:color="BFC7D5" w:sz="4"/>
              <w:bottom w:val="single" w:color="BFC7D5" w:sz="4"/>
              <w:right w:val="single" w:color="BFC7D5" w:sz="4"/>
            </w:tcBorders>
            <w:tcMar>
              <w:top w:type="dxa" w:w="80"/>
              <w:left w:type="dxa" w:w="120"/>
              <w:bottom w:type="dxa" w:w="80"/>
              <w:right w:type="dxa" w:w="120"/>
            </w:tcMar>
            <w:vAlign w:val="center"/>
          </w:tcPr>
          <w:p>
            <w:pPr>
              <w:jc w:val="center"/>
            </w:pPr>
            <w:r>
              <w:rPr>
                <w:rFonts w:ascii="Arial" w:cs="Arial" w:eastAsia="Arial" w:hAnsi="Arial"/>
                <w:sz w:val="21"/>
                <w:szCs w:val="21"/>
                <w:highlight w:val="yellow"/>
              </w:rPr>
              <w:t xml:space="preserve">[ ]</w:t>
            </w:r>
          </w:p>
        </w:tc>
        <w:tc>
          <w:tcPr>
            <w:tcW w:type="dxa" w:w="1400"/>
            <w:tcBorders>
              <w:top w:val="single" w:color="BFC7D5" w:sz="4"/>
              <w:left w:val="single" w:color="BFC7D5" w:sz="4"/>
              <w:bottom w:val="single" w:color="BFC7D5" w:sz="4"/>
              <w:right w:val="single" w:color="BFC7D5" w:sz="4"/>
            </w:tcBorders>
            <w:tcMar>
              <w:top w:type="dxa" w:w="80"/>
              <w:left w:type="dxa" w:w="120"/>
              <w:bottom w:type="dxa" w:w="80"/>
              <w:right w:type="dxa" w:w="120"/>
            </w:tcMar>
            <w:vAlign w:val="center"/>
          </w:tcPr>
          <w:p>
            <w:pPr>
              <w:jc w:val="center"/>
            </w:pPr>
            <w:r>
              <w:rPr>
                <w:rFonts w:ascii="Arial" w:cs="Arial" w:eastAsia="Arial" w:hAnsi="Arial"/>
                <w:sz w:val="21"/>
                <w:szCs w:val="21"/>
                <w:highlight w:val="yellow"/>
              </w:rPr>
              <w:t xml:space="preserve">[ ]</w:t>
            </w:r>
          </w:p>
        </w:tc>
      </w:tr>
    </w:tbl>
    <w:p>
      <w:pPr>
        <w:spacing w:after="120"/>
      </w:pPr>
    </w:p>
    <w:p>
      <w:pPr>
        <w:spacing w:after="140" w:line="300"/>
      </w:pPr>
      <w:r>
        <w:rPr>
          <w:rFonts w:ascii="Arial" w:cs="Arial" w:eastAsia="Arial" w:hAnsi="Arial"/>
        </w:rPr>
        <w:t xml:space="preserve">Cada porcentaje se justifica con algún dato: lo que pasa en bares parecidos o lo que SAUCO vende hoy en la tarde.</w:t>
      </w:r>
    </w:p>
    <w:p>
      <w:pPr>
        <w:spacing w:after="140" w:line="300"/>
      </w:pPr>
      <w:r>
        <w:rPr>
          <w:rFonts w:ascii="Arial" w:cs="Arial" w:eastAsia="Arial" w:hAnsi="Arial"/>
        </w:rPr>
        <w:t xml:space="preserve">Como referencia del techo, lo que SAUCO pierde hoy por la temporada baja en la tarde es: (tickets por día del resto del año − tickets por día en verano) × ticket promedio × días de verano. </w:t>
      </w:r>
      <w:r>
        <w:rPr>
          <w:rFonts w:ascii="Arial" w:cs="Arial" w:eastAsia="Arial" w:hAnsi="Arial"/>
          <w:highlight w:val="yellow"/>
        </w:rPr>
        <w:t xml:space="preserve">[Completar.]</w:t>
      </w:r>
    </w:p>
    <w:p>
      <w:pPr>
        <w:pStyle w:val="Heading2"/>
      </w:pPr>
      <w:r>
        <w:rPr>
          <w:rFonts w:ascii="Arial" w:cs="Arial" w:eastAsia="Arial" w:hAnsi="Arial"/>
        </w:rPr>
        <w:t xml:space="preserve">Paso 3. Definición del foco a hackear</w:t>
      </w:r>
    </w:p>
    <w:p>
      <w:pPr>
        <w:spacing w:after="140" w:line="300"/>
      </w:pPr>
      <w:r>
        <w:rPr>
          <w:rFonts w:ascii="Arial" w:cs="Arial" w:eastAsia="Arial" w:hAnsi="Arial"/>
          <w:b/>
          <w:bCs/>
        </w:rPr>
        <w:t xml:space="preserve">Foco:</w:t>
      </w:r>
      <w:r>
        <w:rPr>
          <w:rFonts w:ascii="Arial" w:cs="Arial" w:eastAsia="Arial" w:hAnsi="Arial"/>
        </w:rPr>
        <w:t xml:space="preserve"> recuperar la temporada baja de verano en la franja de la tarde (de 16 a 20), con el take away de una carta de 10 tragos de café frío de autor.</w:t>
      </w:r>
    </w:p>
    <w:p>
      <w:pPr>
        <w:spacing w:after="140" w:line="300"/>
      </w:pPr>
      <w:r>
        <w:rPr>
          <w:rFonts w:ascii="Arial" w:cs="Arial" w:eastAsia="Arial" w:hAnsi="Arial"/>
        </w:rPr>
        <w:t xml:space="preserve">Es coherente con la estrategia de desarrollo de producto y con la definición del mercado: el problema es la caída de las ventas en verano y la carta es el producto nuevo para recuperarlas.</w:t>
      </w:r>
    </w:p>
    <w:p>
      <w:pPr>
        <w:spacing w:after="140" w:line="300"/>
      </w:pPr>
      <w:r>
        <w:rPr>
          <w:rFonts w:ascii="Arial" w:cs="Arial" w:eastAsia="Arial" w:hAnsi="Arial"/>
          <w:b/>
          <w:bCs/>
        </w:rPr>
        <w:t xml:space="preserve">Hipótesis a probar:</w:t>
      </w:r>
      <w:r>
        <w:rPr>
          <w:rFonts w:ascii="Arial" w:cs="Arial" w:eastAsia="Arial" w:hAnsi="Arial"/>
        </w:rPr>
        <w:t xml:space="preserve"> si SAUCO lanza una carta de 10 tragos de café frío de autor para llevar en la tarde de verano, entonces </w:t>
      </w:r>
      <w:r>
        <w:rPr>
          <w:rFonts w:ascii="Arial" w:cs="Arial" w:eastAsia="Arial" w:hAnsi="Arial"/>
          <w:color w:val="C00000"/>
        </w:rPr>
        <w:t xml:space="preserve">[X]%</w:t>
      </w:r>
      <w:r>
        <w:rPr>
          <w:rFonts w:ascii="Arial" w:cs="Arial" w:eastAsia="Arial" w:hAnsi="Arial"/>
        </w:rPr>
        <w:t xml:space="preserve"> de los tickets de la tarde incluirá un trago de la carta, la carta traerá </w:t>
      </w:r>
      <w:r>
        <w:rPr>
          <w:rFonts w:ascii="Arial" w:cs="Arial" w:eastAsia="Arial" w:hAnsi="Arial"/>
          <w:color w:val="C00000"/>
        </w:rPr>
        <w:t xml:space="preserve">[Z]</w:t>
      </w:r>
      <w:r>
        <w:rPr>
          <w:rFonts w:ascii="Arial" w:cs="Arial" w:eastAsia="Arial" w:hAnsi="Arial"/>
        </w:rPr>
        <w:t xml:space="preserve"> clientes nuevos por día y cada trago dejará una rentabilidad de </w:t>
      </w:r>
      <w:r>
        <w:rPr>
          <w:rFonts w:ascii="Arial" w:cs="Arial" w:eastAsia="Arial" w:hAnsi="Arial"/>
          <w:color w:val="C00000"/>
        </w:rPr>
        <w:t xml:space="preserve">[M]%</w:t>
      </w:r>
      <w:r>
        <w:rPr>
          <w:rFonts w:ascii="Arial" w:cs="Arial" w:eastAsia="Arial" w:hAnsi="Arial"/>
        </w:rPr>
        <w:t xml:space="preserve"> sobre su costo. Se prueba durante todo el verano, de diciembre a marzo, y se mide con los tres indicadores del paso 5.</w:t>
      </w:r>
    </w:p>
    <w:p>
      <w:pPr>
        <w:pStyle w:val="Heading2"/>
      </w:pPr>
      <w:r>
        <w:rPr>
          <w:rFonts w:ascii="Arial" w:cs="Arial" w:eastAsia="Arial" w:hAnsi="Arial"/>
        </w:rPr>
        <w:t xml:space="preserve">Paso 4. Definición de la propuesta de valor</w:t>
      </w:r>
    </w:p>
    <w:p>
      <w:pPr>
        <w:pBdr>
          <w:left w:val="single" w:color="2F6FDE" w:sz="24" w:space="10"/>
        </w:pBdr>
        <w:shd w:fill="EEF3FD" w:color="auto" w:val="clear"/>
        <w:spacing w:after="200" w:before="60" w:line="312"/>
        <w:ind w:left="200" w:right="100"/>
      </w:pPr>
      <w:r>
        <w:rPr>
          <w:rFonts w:ascii="Arial" w:cs="Arial" w:eastAsia="Arial" w:hAnsi="Arial"/>
        </w:rPr>
        <w:t xml:space="preserve">Para quienes salen de la oficina o pasan por Parque Rodó y Cordón y quieren llevarse algo fresco en las tardes de verano, </w:t>
      </w:r>
      <w:r>
        <w:rPr>
          <w:rFonts w:ascii="Arial" w:cs="Arial" w:eastAsia="Arial" w:hAnsi="Arial"/>
          <w:b/>
          <w:bCs/>
        </w:rPr>
        <w:t xml:space="preserve">SAUCO ofrece una carta de 10 tragos de café frío de autor</w:t>
      </w:r>
      <w:r>
        <w:rPr>
          <w:rFonts w:ascii="Arial" w:cs="Arial" w:eastAsia="Arial" w:hAnsi="Arial"/>
        </w:rPr>
        <w:t xml:space="preserve"> </w:t>
      </w:r>
      <w:r>
        <w:rPr>
          <w:rFonts w:ascii="Arial" w:cs="Arial" w:eastAsia="Arial" w:hAnsi="Arial"/>
          <w:highlight w:val="yellow"/>
        </w:rPr>
        <w:t xml:space="preserve">[con / sin alcohol]</w:t>
      </w:r>
      <w:r>
        <w:rPr>
          <w:rFonts w:ascii="Arial" w:cs="Arial" w:eastAsia="Arial" w:hAnsi="Arial"/>
        </w:rPr>
        <w:t xml:space="preserve">: una experiencia que no se consigue en otro lado. A diferencia de las cafeterías y los bares de la zona, que no hacen un producto así, SAUCO la respalda con un barista con trayectoria y con clientes que ya son fieles al local.</w:t>
      </w:r>
    </w:p>
    <w:p>
      <w:pPr>
        <w:pStyle w:val="ListParagraph"/>
        <w:numPr>
          <w:ilvl w:val="0"/>
          <w:numId w:val="2"/>
        </w:numPr>
        <w:spacing w:after="100" w:line="300"/>
      </w:pPr>
      <w:r>
        <w:rPr>
          <w:rFonts w:ascii="Arial" w:cs="Arial" w:eastAsia="Arial" w:hAnsi="Arial"/>
          <w:b/>
          <w:bCs/>
        </w:rPr>
        <w:t xml:space="preserve">Beneficio principal:</w:t>
      </w:r>
      <w:r>
        <w:rPr>
          <w:rFonts w:ascii="Arial" w:cs="Arial" w:eastAsia="Arial" w:hAnsi="Arial"/>
        </w:rPr>
        <w:t xml:space="preserve"> la experiencia de autor. El cliente no compra solo un café frío, compra un trago especial, hecho por un barista, que convierte el café en un momento de verano.</w:t>
      </w:r>
    </w:p>
    <w:p>
      <w:pPr>
        <w:pStyle w:val="ListParagraph"/>
        <w:numPr>
          <w:ilvl w:val="0"/>
          <w:numId w:val="2"/>
        </w:numPr>
        <w:spacing w:after="100" w:line="300"/>
      </w:pPr>
      <w:r>
        <w:rPr>
          <w:rFonts w:ascii="Arial" w:cs="Arial" w:eastAsia="Arial" w:hAnsi="Arial"/>
          <w:b/>
          <w:bCs/>
        </w:rPr>
        <w:t xml:space="preserve">Qué la diferencia:</w:t>
      </w:r>
      <w:r>
        <w:rPr>
          <w:rFonts w:ascii="Arial" w:cs="Arial" w:eastAsia="Arial" w:hAnsi="Arial"/>
        </w:rPr>
        <w:t xml:space="preserve"> el producto en sí. Ni las cafeterías cercanas (Culto y Patrimonio) ni los bares de la zona hacen hoy cafés de autor como estos, así que la diferencia no está en el precio ni en la ubicación sino en tener algo que los demás no ofrecen.</w:t>
      </w:r>
    </w:p>
    <w:p>
      <w:pPr>
        <w:pStyle w:val="ListParagraph"/>
        <w:numPr>
          <w:ilvl w:val="0"/>
          <w:numId w:val="2"/>
        </w:numPr>
        <w:spacing w:after="100" w:line="300"/>
      </w:pPr>
      <w:r>
        <w:rPr>
          <w:rFonts w:ascii="Arial" w:cs="Arial" w:eastAsia="Arial" w:hAnsi="Arial"/>
          <w:b/>
          <w:bCs/>
        </w:rPr>
        <w:t xml:space="preserve">Por qué se le puede creer:</w:t>
      </w:r>
      <w:r>
        <w:rPr>
          <w:rFonts w:ascii="Arial" w:cs="Arial" w:eastAsia="Arial" w:hAnsi="Arial"/>
        </w:rPr>
        <w:t xml:space="preserve"> SAUCO tiene un barista con trayectoria y clientes fieles. Los que ya vuelven al local son la primera audiencia de la carta.</w:t>
      </w:r>
    </w:p>
    <w:p>
      <w:pPr>
        <w:pStyle w:val="Heading2"/>
      </w:pPr>
      <w:r>
        <w:rPr>
          <w:rFonts w:ascii="Arial" w:cs="Arial" w:eastAsia="Arial" w:hAnsi="Arial"/>
        </w:rPr>
        <w:t xml:space="preserve">Paso 5. Consensuar KPIs</w:t>
      </w:r>
    </w:p>
    <w:p>
      <w:pPr>
        <w:spacing w:after="140" w:line="300"/>
      </w:pPr>
      <w:r>
        <w:rPr>
          <w:rFonts w:ascii="Arial" w:cs="Arial" w:eastAsia="Arial" w:hAnsi="Arial"/>
        </w:rPr>
        <w:t xml:space="preserve">Son tres indicadores, uno por cada parte de la hipótesis del paso 3. Se acuerdan con el dueño de SAUCO, con una meta y un plazo cada uno.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900"/>
        <w:gridCol w:w="3126"/>
        <w:gridCol w:w="2000"/>
      </w:tblGrid>
      <w:tr>
        <w:trPr>
          <w:tblHeader/>
        </w:trPr>
        <w:tc>
          <w:tcPr>
            <w:tcW w:type="dxa" w:w="2000"/>
            <w:tcBorders>
              <w:top w:val="single" w:color="BFC7D5" w:sz="4"/>
              <w:left w:val="single" w:color="BFC7D5" w:sz="4"/>
              <w:bottom w:val="single" w:color="BFC7D5" w:sz="4"/>
              <w:right w:val="single" w:color="BFC7D5" w:sz="4"/>
            </w:tcBorders>
            <w:shd w:fill="1F3864" w:color="auto" w:val="clear"/>
            <w:tcMar>
              <w:top w:type="dxa" w:w="80"/>
              <w:left w:type="dxa" w:w="120"/>
              <w:bottom w:type="dxa" w:w="80"/>
              <w:right w:type="dxa" w:w="120"/>
            </w:tcMar>
            <w:vAlign w:val="center"/>
          </w:tcPr>
          <w:p>
            <w:pPr>
              <w:jc w:val="left"/>
            </w:pPr>
            <w:r>
              <w:rPr>
                <w:rFonts w:ascii="Arial" w:cs="Arial" w:eastAsia="Arial" w:hAnsi="Arial"/>
                <w:b/>
                <w:bCs/>
                <w:color w:val="FFFFFF"/>
                <w:sz w:val="21"/>
                <w:szCs w:val="21"/>
              </w:rPr>
              <w:t xml:space="preserve">Indicador</w:t>
            </w:r>
          </w:p>
        </w:tc>
        <w:tc>
          <w:tcPr>
            <w:tcW w:type="dxa" w:w="1900"/>
            <w:tcBorders>
              <w:top w:val="single" w:color="BFC7D5" w:sz="4"/>
              <w:left w:val="single" w:color="BFC7D5" w:sz="4"/>
              <w:bottom w:val="single" w:color="BFC7D5" w:sz="4"/>
              <w:right w:val="single" w:color="BFC7D5" w:sz="4"/>
            </w:tcBorders>
            <w:shd w:fill="1F3864" w:color="auto" w:val="clear"/>
            <w:tcMar>
              <w:top w:type="dxa" w:w="80"/>
              <w:left w:type="dxa" w:w="120"/>
              <w:bottom w:type="dxa" w:w="80"/>
              <w:right w:type="dxa" w:w="120"/>
            </w:tcMar>
            <w:vAlign w:val="center"/>
          </w:tcPr>
          <w:p>
            <w:pPr>
              <w:jc w:val="left"/>
            </w:pPr>
            <w:r>
              <w:rPr>
                <w:rFonts w:ascii="Arial" w:cs="Arial" w:eastAsia="Arial" w:hAnsi="Arial"/>
                <w:b/>
                <w:bCs/>
                <w:color w:val="FFFFFF"/>
                <w:sz w:val="21"/>
                <w:szCs w:val="21"/>
              </w:rPr>
              <w:t xml:space="preserve">Qué mide</w:t>
            </w:r>
          </w:p>
        </w:tc>
        <w:tc>
          <w:tcPr>
            <w:tcW w:type="dxa" w:w="3126"/>
            <w:tcBorders>
              <w:top w:val="single" w:color="BFC7D5" w:sz="4"/>
              <w:left w:val="single" w:color="BFC7D5" w:sz="4"/>
              <w:bottom w:val="single" w:color="BFC7D5" w:sz="4"/>
              <w:right w:val="single" w:color="BFC7D5" w:sz="4"/>
            </w:tcBorders>
            <w:shd w:fill="1F3864" w:color="auto" w:val="clear"/>
            <w:tcMar>
              <w:top w:type="dxa" w:w="80"/>
              <w:left w:type="dxa" w:w="120"/>
              <w:bottom w:type="dxa" w:w="80"/>
              <w:right w:type="dxa" w:w="120"/>
            </w:tcMar>
            <w:vAlign w:val="center"/>
          </w:tcPr>
          <w:p>
            <w:pPr>
              <w:jc w:val="left"/>
            </w:pPr>
            <w:r>
              <w:rPr>
                <w:rFonts w:ascii="Arial" w:cs="Arial" w:eastAsia="Arial" w:hAnsi="Arial"/>
                <w:b/>
                <w:bCs/>
                <w:color w:val="FFFFFF"/>
                <w:sz w:val="21"/>
                <w:szCs w:val="21"/>
              </w:rPr>
              <w:t xml:space="preserve">Cómo se calcula</w:t>
            </w:r>
          </w:p>
        </w:tc>
        <w:tc>
          <w:tcPr>
            <w:tcW w:type="dxa" w:w="2000"/>
            <w:tcBorders>
              <w:top w:val="single" w:color="BFC7D5" w:sz="4"/>
              <w:left w:val="single" w:color="BFC7D5" w:sz="4"/>
              <w:bottom w:val="single" w:color="BFC7D5" w:sz="4"/>
              <w:right w:val="single" w:color="BFC7D5" w:sz="4"/>
            </w:tcBorders>
            <w:shd w:fill="1F3864" w:color="auto" w:val="clear"/>
            <w:tcMar>
              <w:top w:type="dxa" w:w="80"/>
              <w:left w:type="dxa" w:w="120"/>
              <w:bottom w:type="dxa" w:w="80"/>
              <w:right w:type="dxa" w:w="120"/>
            </w:tcMar>
            <w:vAlign w:val="center"/>
          </w:tcPr>
          <w:p>
            <w:pPr>
              <w:jc w:val="left"/>
            </w:pPr>
            <w:r>
              <w:rPr>
                <w:rFonts w:ascii="Arial" w:cs="Arial" w:eastAsia="Arial" w:hAnsi="Arial"/>
                <w:b/>
                <w:bCs/>
                <w:color w:val="FFFFFF"/>
                <w:sz w:val="21"/>
                <w:szCs w:val="21"/>
              </w:rPr>
              <w:t xml:space="preserve">Meta y plazo</w:t>
            </w:r>
          </w:p>
        </w:tc>
      </w:tr>
      <w:tr>
        <w:tc>
          <w:tcPr>
            <w:tcW w:type="dxa" w:w="2000"/>
            <w:tcBorders>
              <w:top w:val="single" w:color="BFC7D5" w:sz="4"/>
              <w:left w:val="single" w:color="BFC7D5" w:sz="4"/>
              <w:bottom w:val="single" w:color="BFC7D5" w:sz="4"/>
              <w:right w:val="single" w:color="BFC7D5" w:sz="4"/>
            </w:tcBorders>
            <w:tcMar>
              <w:top w:type="dxa" w:w="80"/>
              <w:left w:type="dxa" w:w="120"/>
              <w:bottom w:type="dxa" w:w="80"/>
              <w:right w:type="dxa" w:w="120"/>
            </w:tcMar>
            <w:vAlign w:val="center"/>
          </w:tcPr>
          <w:p>
            <w:pPr>
              <w:jc w:val="left"/>
            </w:pPr>
            <w:r>
              <w:rPr>
                <w:rFonts w:ascii="Arial" w:cs="Arial" w:eastAsia="Arial" w:hAnsi="Arial"/>
                <w:sz w:val="21"/>
                <w:szCs w:val="21"/>
              </w:rPr>
              <w:t xml:space="preserve">% de tickets con un trago de autor</w:t>
            </w:r>
          </w:p>
        </w:tc>
        <w:tc>
          <w:tcPr>
            <w:tcW w:type="dxa" w:w="1900"/>
            <w:tcBorders>
              <w:top w:val="single" w:color="BFC7D5" w:sz="4"/>
              <w:left w:val="single" w:color="BFC7D5" w:sz="4"/>
              <w:bottom w:val="single" w:color="BFC7D5" w:sz="4"/>
              <w:right w:val="single" w:color="BFC7D5" w:sz="4"/>
            </w:tcBorders>
            <w:tcMar>
              <w:top w:type="dxa" w:w="80"/>
              <w:left w:type="dxa" w:w="120"/>
              <w:bottom w:type="dxa" w:w="80"/>
              <w:right w:type="dxa" w:w="120"/>
            </w:tcMar>
            <w:vAlign w:val="center"/>
          </w:tcPr>
          <w:p>
            <w:pPr>
              <w:jc w:val="left"/>
            </w:pPr>
            <w:r>
              <w:rPr>
                <w:rFonts w:ascii="Arial" w:cs="Arial" w:eastAsia="Arial" w:hAnsi="Arial"/>
                <w:sz w:val="21"/>
                <w:szCs w:val="21"/>
              </w:rPr>
              <w:t xml:space="preserve">Cuánta gente de la tarde elige la carta</w:t>
            </w:r>
          </w:p>
        </w:tc>
        <w:tc>
          <w:tcPr>
            <w:tcW w:type="dxa" w:w="3126"/>
            <w:tcBorders>
              <w:top w:val="single" w:color="BFC7D5" w:sz="4"/>
              <w:left w:val="single" w:color="BFC7D5" w:sz="4"/>
              <w:bottom w:val="single" w:color="BFC7D5" w:sz="4"/>
              <w:right w:val="single" w:color="BFC7D5" w:sz="4"/>
            </w:tcBorders>
            <w:tcMar>
              <w:top w:type="dxa" w:w="80"/>
              <w:left w:type="dxa" w:w="120"/>
              <w:bottom w:type="dxa" w:w="80"/>
              <w:right w:type="dxa" w:w="120"/>
            </w:tcMar>
            <w:vAlign w:val="center"/>
          </w:tcPr>
          <w:p>
            <w:pPr>
              <w:jc w:val="left"/>
            </w:pPr>
            <w:r>
              <w:rPr>
                <w:rFonts w:ascii="Arial" w:cs="Arial" w:eastAsia="Arial" w:hAnsi="Arial"/>
                <w:sz w:val="21"/>
                <w:szCs w:val="21"/>
              </w:rPr>
              <w:t xml:space="preserve">Tickets de la tarde (de 16 a 20) con al menos un trago de la carta ÷ tickets totales de esa franja.</w:t>
            </w:r>
          </w:p>
        </w:tc>
        <w:tc>
          <w:tcPr>
            <w:tcW w:type="dxa" w:w="2000"/>
            <w:tcBorders>
              <w:top w:val="single" w:color="BFC7D5" w:sz="4"/>
              <w:left w:val="single" w:color="BFC7D5" w:sz="4"/>
              <w:bottom w:val="single" w:color="BFC7D5" w:sz="4"/>
              <w:right w:val="single" w:color="BFC7D5" w:sz="4"/>
            </w:tcBorders>
            <w:tcMar>
              <w:top w:type="dxa" w:w="80"/>
              <w:left w:type="dxa" w:w="120"/>
              <w:bottom w:type="dxa" w:w="80"/>
              <w:right w:type="dxa" w:w="120"/>
            </w:tcMar>
            <w:vAlign w:val="center"/>
          </w:tcPr>
          <w:p>
            <w:pPr>
              <w:jc w:val="left"/>
            </w:pPr>
            <w:r>
              <w:rPr>
                <w:rFonts w:ascii="Arial" w:cs="Arial" w:eastAsia="Arial" w:hAnsi="Arial"/>
                <w:color w:val="C00000"/>
                <w:sz w:val="21"/>
                <w:szCs w:val="21"/>
              </w:rPr>
              <w:t xml:space="preserve">[X]%</w:t>
            </w:r>
            <w:r>
              <w:rPr>
                <w:rFonts w:ascii="Arial" w:cs="Arial" w:eastAsia="Arial" w:hAnsi="Arial"/>
                <w:sz w:val="21"/>
                <w:szCs w:val="21"/>
              </w:rPr>
              <w:t xml:space="preserve"> de los tickets al terminar el verano</w:t>
            </w:r>
          </w:p>
        </w:tc>
      </w:tr>
      <w:tr>
        <w:tc>
          <w:tcPr>
            <w:tcW w:type="dxa" w:w="2000"/>
            <w:tcBorders>
              <w:top w:val="single" w:color="BFC7D5" w:sz="4"/>
              <w:left w:val="single" w:color="BFC7D5" w:sz="4"/>
              <w:bottom w:val="single" w:color="BFC7D5" w:sz="4"/>
              <w:right w:val="single" w:color="BFC7D5" w:sz="4"/>
            </w:tcBorders>
            <w:shd w:fill="F3F6FB" w:color="auto" w:val="clear"/>
            <w:tcMar>
              <w:top w:type="dxa" w:w="80"/>
              <w:left w:type="dxa" w:w="120"/>
              <w:bottom w:type="dxa" w:w="80"/>
              <w:right w:type="dxa" w:w="120"/>
            </w:tcMar>
            <w:vAlign w:val="center"/>
          </w:tcPr>
          <w:p>
            <w:pPr>
              <w:jc w:val="left"/>
            </w:pPr>
            <w:r>
              <w:rPr>
                <w:rFonts w:ascii="Arial" w:cs="Arial" w:eastAsia="Arial" w:hAnsi="Arial"/>
                <w:sz w:val="21"/>
                <w:szCs w:val="21"/>
              </w:rPr>
              <w:t xml:space="preserve">Clientes nuevos por día que trae la carta</w:t>
            </w:r>
          </w:p>
        </w:tc>
        <w:tc>
          <w:tcPr>
            <w:tcW w:type="dxa" w:w="1900"/>
            <w:tcBorders>
              <w:top w:val="single" w:color="BFC7D5" w:sz="4"/>
              <w:left w:val="single" w:color="BFC7D5" w:sz="4"/>
              <w:bottom w:val="single" w:color="BFC7D5" w:sz="4"/>
              <w:right w:val="single" w:color="BFC7D5" w:sz="4"/>
            </w:tcBorders>
            <w:shd w:fill="F3F6FB" w:color="auto" w:val="clear"/>
            <w:tcMar>
              <w:top w:type="dxa" w:w="80"/>
              <w:left w:type="dxa" w:w="120"/>
              <w:bottom w:type="dxa" w:w="80"/>
              <w:right w:type="dxa" w:w="120"/>
            </w:tcMar>
            <w:vAlign w:val="center"/>
          </w:tcPr>
          <w:p>
            <w:pPr>
              <w:jc w:val="left"/>
            </w:pPr>
            <w:r>
              <w:rPr>
                <w:rFonts w:ascii="Arial" w:cs="Arial" w:eastAsia="Arial" w:hAnsi="Arial"/>
                <w:sz w:val="21"/>
                <w:szCs w:val="21"/>
              </w:rPr>
              <w:t xml:space="preserve">Si la carta atrae gente que antes no venía</w:t>
            </w:r>
          </w:p>
        </w:tc>
        <w:tc>
          <w:tcPr>
            <w:tcW w:type="dxa" w:w="3126"/>
            <w:tcBorders>
              <w:top w:val="single" w:color="BFC7D5" w:sz="4"/>
              <w:left w:val="single" w:color="BFC7D5" w:sz="4"/>
              <w:bottom w:val="single" w:color="BFC7D5" w:sz="4"/>
              <w:right w:val="single" w:color="BFC7D5" w:sz="4"/>
            </w:tcBorders>
            <w:shd w:fill="F3F6FB" w:color="auto" w:val="clear"/>
            <w:tcMar>
              <w:top w:type="dxa" w:w="80"/>
              <w:left w:type="dxa" w:w="120"/>
              <w:bottom w:type="dxa" w:w="80"/>
              <w:right w:type="dxa" w:w="120"/>
            </w:tcMar>
            <w:vAlign w:val="center"/>
          </w:tcPr>
          <w:p>
            <w:pPr>
              <w:jc w:val="left"/>
            </w:pPr>
            <w:r>
              <w:rPr>
                <w:rFonts w:ascii="Arial" w:cs="Arial" w:eastAsia="Arial" w:hAnsi="Arial"/>
                <w:sz w:val="21"/>
                <w:szCs w:val="21"/>
              </w:rPr>
              <w:t xml:space="preserve">Clientes de la tarde que piden un trago de la carta y compran en SAUCO por primera vez. </w:t>
            </w:r>
            <w:r>
              <w:rPr>
                <w:rFonts w:ascii="Arial" w:cs="Arial" w:eastAsia="Arial" w:hAnsi="Arial"/>
                <w:sz w:val="21"/>
                <w:szCs w:val="21"/>
                <w:highlight w:val="yellow"/>
              </w:rPr>
              <w:t xml:space="preserve">[Propuesta: preguntarlo en caja al cobrar.]</w:t>
            </w:r>
          </w:p>
        </w:tc>
        <w:tc>
          <w:tcPr>
            <w:tcW w:type="dxa" w:w="2000"/>
            <w:tcBorders>
              <w:top w:val="single" w:color="BFC7D5" w:sz="4"/>
              <w:left w:val="single" w:color="BFC7D5" w:sz="4"/>
              <w:bottom w:val="single" w:color="BFC7D5" w:sz="4"/>
              <w:right w:val="single" w:color="BFC7D5" w:sz="4"/>
            </w:tcBorders>
            <w:shd w:fill="F3F6FB" w:color="auto" w:val="clear"/>
            <w:tcMar>
              <w:top w:type="dxa" w:w="80"/>
              <w:left w:type="dxa" w:w="120"/>
              <w:bottom w:type="dxa" w:w="80"/>
              <w:right w:type="dxa" w:w="120"/>
            </w:tcMar>
            <w:vAlign w:val="center"/>
          </w:tcPr>
          <w:p>
            <w:pPr>
              <w:jc w:val="left"/>
            </w:pPr>
            <w:r>
              <w:rPr>
                <w:rFonts w:ascii="Arial" w:cs="Arial" w:eastAsia="Arial" w:hAnsi="Arial"/>
                <w:color w:val="C00000"/>
                <w:sz w:val="21"/>
                <w:szCs w:val="21"/>
              </w:rPr>
              <w:t xml:space="preserve">[Z]</w:t>
            </w:r>
            <w:r>
              <w:rPr>
                <w:rFonts w:ascii="Arial" w:cs="Arial" w:eastAsia="Arial" w:hAnsi="Arial"/>
                <w:sz w:val="21"/>
                <w:szCs w:val="21"/>
              </w:rPr>
              <w:t xml:space="preserve"> clientes nuevos por día, en promedio del verano</w:t>
            </w:r>
          </w:p>
        </w:tc>
      </w:tr>
      <w:tr>
        <w:tc>
          <w:tcPr>
            <w:tcW w:type="dxa" w:w="2000"/>
            <w:tcBorders>
              <w:top w:val="single" w:color="BFC7D5" w:sz="4"/>
              <w:left w:val="single" w:color="BFC7D5" w:sz="4"/>
              <w:bottom w:val="single" w:color="BFC7D5" w:sz="4"/>
              <w:right w:val="single" w:color="BFC7D5" w:sz="4"/>
            </w:tcBorders>
            <w:tcMar>
              <w:top w:type="dxa" w:w="80"/>
              <w:left w:type="dxa" w:w="120"/>
              <w:bottom w:type="dxa" w:w="80"/>
              <w:right w:type="dxa" w:w="120"/>
            </w:tcMar>
            <w:vAlign w:val="center"/>
          </w:tcPr>
          <w:p>
            <w:pPr>
              <w:jc w:val="left"/>
            </w:pPr>
            <w:r>
              <w:rPr>
                <w:rFonts w:ascii="Arial" w:cs="Arial" w:eastAsia="Arial" w:hAnsi="Arial"/>
                <w:sz w:val="21"/>
                <w:szCs w:val="21"/>
              </w:rPr>
              <w:t xml:space="preserve">Rentabilidad por trago</w:t>
            </w:r>
          </w:p>
        </w:tc>
        <w:tc>
          <w:tcPr>
            <w:tcW w:type="dxa" w:w="1900"/>
            <w:tcBorders>
              <w:top w:val="single" w:color="BFC7D5" w:sz="4"/>
              <w:left w:val="single" w:color="BFC7D5" w:sz="4"/>
              <w:bottom w:val="single" w:color="BFC7D5" w:sz="4"/>
              <w:right w:val="single" w:color="BFC7D5" w:sz="4"/>
            </w:tcBorders>
            <w:tcMar>
              <w:top w:type="dxa" w:w="80"/>
              <w:left w:type="dxa" w:w="120"/>
              <w:bottom w:type="dxa" w:w="80"/>
              <w:right w:type="dxa" w:w="120"/>
            </w:tcMar>
            <w:vAlign w:val="center"/>
          </w:tcPr>
          <w:p>
            <w:pPr>
              <w:jc w:val="left"/>
            </w:pPr>
            <w:r>
              <w:rPr>
                <w:rFonts w:ascii="Arial" w:cs="Arial" w:eastAsia="Arial" w:hAnsi="Arial"/>
                <w:sz w:val="21"/>
                <w:szCs w:val="21"/>
              </w:rPr>
              <w:t xml:space="preserve">Cuánto deja cada trago sobre su costo</w:t>
            </w:r>
          </w:p>
        </w:tc>
        <w:tc>
          <w:tcPr>
            <w:tcW w:type="dxa" w:w="3126"/>
            <w:tcBorders>
              <w:top w:val="single" w:color="BFC7D5" w:sz="4"/>
              <w:left w:val="single" w:color="BFC7D5" w:sz="4"/>
              <w:bottom w:val="single" w:color="BFC7D5" w:sz="4"/>
              <w:right w:val="single" w:color="BFC7D5" w:sz="4"/>
            </w:tcBorders>
            <w:tcMar>
              <w:top w:type="dxa" w:w="80"/>
              <w:left w:type="dxa" w:w="120"/>
              <w:bottom w:type="dxa" w:w="80"/>
              <w:right w:type="dxa" w:w="120"/>
            </w:tcMar>
            <w:vAlign w:val="center"/>
          </w:tcPr>
          <w:p>
            <w:pPr>
              <w:jc w:val="left"/>
            </w:pPr>
            <w:r>
              <w:rPr>
                <w:rFonts w:ascii="Arial" w:cs="Arial" w:eastAsia="Arial" w:hAnsi="Arial"/>
                <w:sz w:val="21"/>
                <w:szCs w:val="21"/>
              </w:rPr>
              <w:t xml:space="preserve">(Precio del trago − costo del trago) ÷ costo del trago. Se compara con el recargo del 150% que hoy deja el café.</w:t>
            </w:r>
          </w:p>
        </w:tc>
        <w:tc>
          <w:tcPr>
            <w:tcW w:type="dxa" w:w="2000"/>
            <w:tcBorders>
              <w:top w:val="single" w:color="BFC7D5" w:sz="4"/>
              <w:left w:val="single" w:color="BFC7D5" w:sz="4"/>
              <w:bottom w:val="single" w:color="BFC7D5" w:sz="4"/>
              <w:right w:val="single" w:color="BFC7D5" w:sz="4"/>
            </w:tcBorders>
            <w:tcMar>
              <w:top w:type="dxa" w:w="80"/>
              <w:left w:type="dxa" w:w="120"/>
              <w:bottom w:type="dxa" w:w="80"/>
              <w:right w:type="dxa" w:w="120"/>
            </w:tcMar>
            <w:vAlign w:val="center"/>
          </w:tcPr>
          <w:p>
            <w:pPr>
              <w:jc w:val="left"/>
            </w:pPr>
            <w:r>
              <w:rPr>
                <w:rFonts w:ascii="Arial" w:cs="Arial" w:eastAsia="Arial" w:hAnsi="Arial"/>
                <w:color w:val="C00000"/>
                <w:sz w:val="21"/>
                <w:szCs w:val="21"/>
              </w:rPr>
              <w:t xml:space="preserve">[M]%</w:t>
            </w:r>
            <w:r>
              <w:rPr>
                <w:rFonts w:ascii="Arial" w:cs="Arial" w:eastAsia="Arial" w:hAnsi="Arial"/>
                <w:sz w:val="21"/>
                <w:szCs w:val="21"/>
              </w:rPr>
              <w:t xml:space="preserve"> sobre el costo, durante todo el verano</w:t>
            </w:r>
          </w:p>
        </w:tc>
      </w:tr>
    </w:tbl>
    <w:p>
      <w:pPr>
        <w:spacing w:after="120"/>
      </w:pPr>
    </w:p>
    <w:p>
      <w:pPr>
        <w:spacing w:after="140" w:line="300"/>
      </w:pPr>
      <w:r>
        <w:rPr>
          <w:rFonts w:ascii="Arial" w:cs="Arial" w:eastAsia="Arial" w:hAnsi="Arial"/>
          <w:b/>
          <w:bCs/>
        </w:rPr>
        <w:t xml:space="preserve">Duración:</w:t>
      </w:r>
      <w:r>
        <w:rPr>
          <w:rFonts w:ascii="Arial" w:cs="Arial" w:eastAsia="Arial" w:hAnsi="Arial"/>
        </w:rPr>
        <w:t xml:space="preserve"> la prueba dura solo el verano, de diciembre a marzo. </w:t>
      </w:r>
      <w:r>
        <w:rPr>
          <w:rFonts w:ascii="Arial" w:cs="Arial" w:eastAsia="Arial" w:hAnsi="Arial"/>
          <w:highlight w:val="yellow"/>
        </w:rPr>
        <w:t xml:space="preserve">[Propuesta para revisar: seguimiento semanal de los tres indicadores y evaluación final en marzo, para decidir si la carta vuelve el próximo verano.]</w:t>
      </w:r>
    </w:p>
    <w:p>
      <w:pPr>
        <w:pStyle w:val="Heading1"/>
      </w:pPr>
      <w:r>
        <w:rPr>
          <w:rFonts w:ascii="Arial" w:cs="Arial" w:eastAsia="Arial" w:hAnsi="Arial"/>
        </w:rPr>
        <w:t xml:space="preserve">5. Riesgos y pasos siguientes</w:t>
      </w:r>
    </w:p>
    <w:p>
      <w:pPr>
        <w:pStyle w:val="ListParagraph"/>
        <w:numPr>
          <w:ilvl w:val="0"/>
          <w:numId w:val="2"/>
        </w:numPr>
        <w:spacing w:after="100" w:line="300"/>
      </w:pPr>
      <w:r>
        <w:rPr>
          <w:rFonts w:ascii="Arial" w:cs="Arial" w:eastAsia="Arial" w:hAnsi="Arial"/>
          <w:b/>
          <w:bCs/>
        </w:rPr>
        <w:t xml:space="preserve">Estacionalidad:</w:t>
      </w:r>
      <w:r>
        <w:rPr>
          <w:rFonts w:ascii="Arial" w:cs="Arial" w:eastAsia="Arial" w:hAnsi="Arial"/>
        </w:rPr>
        <w:t xml:space="preserve"> la carta vende solo unos meses del año.</w:t>
      </w:r>
    </w:p>
    <w:p>
      <w:pPr>
        <w:pStyle w:val="ListParagraph"/>
        <w:numPr>
          <w:ilvl w:val="0"/>
          <w:numId w:val="2"/>
        </w:numPr>
        <w:spacing w:after="100" w:line="300"/>
      </w:pPr>
      <w:r>
        <w:rPr>
          <w:rFonts w:ascii="Arial" w:cs="Arial" w:eastAsia="Arial" w:hAnsi="Arial"/>
          <w:b/>
          <w:bCs/>
        </w:rPr>
        <w:t xml:space="preserve">Alcohol:</w:t>
      </w:r>
      <w:r>
        <w:rPr>
          <w:rFonts w:ascii="Arial" w:cs="Arial" w:eastAsia="Arial" w:hAnsi="Arial"/>
        </w:rPr>
        <w:t xml:space="preserve"> habilitación, horario y tipo de público, según si los tragos llevan alcohol o no. </w:t>
      </w:r>
      <w:r>
        <w:rPr>
          <w:rFonts w:ascii="Arial" w:cs="Arial" w:eastAsia="Arial" w:hAnsi="Arial"/>
          <w:highlight w:val="yellow"/>
        </w:rPr>
        <w:t xml:space="preserve">[Definir.]</w:t>
      </w:r>
    </w:p>
    <w:p>
      <w:pPr>
        <w:pStyle w:val="ListParagraph"/>
        <w:numPr>
          <w:ilvl w:val="0"/>
          <w:numId w:val="2"/>
        </w:numPr>
        <w:spacing w:after="100" w:line="300"/>
      </w:pPr>
      <w:r>
        <w:rPr>
          <w:rFonts w:ascii="Arial" w:cs="Arial" w:eastAsia="Arial" w:hAnsi="Arial"/>
          <w:b/>
          <w:bCs/>
        </w:rPr>
        <w:t xml:space="preserve">Servicio y complejidad:</w:t>
      </w:r>
      <w:r>
        <w:rPr>
          <w:rFonts w:ascii="Arial" w:cs="Arial" w:eastAsia="Arial" w:hAnsi="Arial"/>
        </w:rPr>
        <w:t xml:space="preserve"> una carta de 10 tragos lleva más ingredientes y más entrenamiento, y cada trago tarda más que un café, justo cuando hay fila después de la oficina. SAUCO compra todo hecho, así que depende de que los ingredientes lleguen.</w:t>
      </w:r>
    </w:p>
    <w:p>
      <w:pPr>
        <w:pStyle w:val="ListParagraph"/>
        <w:numPr>
          <w:ilvl w:val="0"/>
          <w:numId w:val="2"/>
        </w:numPr>
        <w:spacing w:after="100" w:line="300"/>
      </w:pPr>
      <w:r>
        <w:rPr>
          <w:rFonts w:ascii="Arial" w:cs="Arial" w:eastAsia="Arial" w:hAnsi="Arial"/>
          <w:b/>
          <w:bCs/>
        </w:rPr>
        <w:t xml:space="preserve">Copia:</w:t>
      </w:r>
      <w:r>
        <w:rPr>
          <w:rFonts w:ascii="Arial" w:cs="Arial" w:eastAsia="Arial" w:hAnsi="Arial"/>
        </w:rPr>
        <w:t xml:space="preserve"> la carta se imita fácil; la marca y el barista no.</w:t>
      </w:r>
    </w:p>
    <w:p>
      <w:pPr>
        <w:pStyle w:val="ListParagraph"/>
        <w:numPr>
          <w:ilvl w:val="0"/>
          <w:numId w:val="2"/>
        </w:numPr>
        <w:spacing w:after="100" w:line="300"/>
      </w:pPr>
      <w:r>
        <w:rPr>
          <w:rFonts w:ascii="Arial" w:cs="Arial" w:eastAsia="Arial" w:hAnsi="Arial"/>
          <w:b/>
          <w:bCs/>
        </w:rPr>
        <w:t xml:space="preserve">Dependencia de proveedores y del dólar,</w:t>
      </w:r>
      <w:r>
        <w:rPr>
          <w:rFonts w:ascii="Arial" w:cs="Arial" w:eastAsia="Arial" w:hAnsi="Arial"/>
        </w:rPr>
        <w:t xml:space="preserve"> por el café importado.</w:t>
      </w:r>
    </w:p>
    <w:p>
      <w:pPr>
        <w:spacing w:after="140" w:line="300"/>
      </w:pPr>
      <w:r>
        <w:rPr>
          <w:rFonts w:ascii="Arial" w:cs="Arial" w:eastAsia="Arial" w:hAnsi="Arial"/>
        </w:rPr>
        <w:t xml:space="preserve">Para reducir el riesgo, la carta se prueba solo durante el verano y se mide con los tres indicadores antes de decidir si se mantiene.</w:t>
      </w:r>
    </w:p>
    <w:p>
      <w:pPr>
        <w:spacing w:after="140" w:line="300"/>
      </w:pPr>
      <w:r>
        <w:rPr>
          <w:rFonts w:ascii="Arial" w:cs="Arial" w:eastAsia="Arial" w:hAnsi="Arial"/>
          <w:b/>
          <w:bCs/>
        </w:rPr>
        <w:t xml:space="preserve">Pendiente del grupo:</w:t>
      </w:r>
      <w:r>
        <w:rPr>
          <w:rFonts w:ascii="Arial" w:cs="Arial" w:eastAsia="Arial" w:hAnsi="Arial"/>
        </w:rPr>
        <w:t xml:space="preserve"> definir con o sin alcohol, confirmar el puntaje de la rivalidad, confirmar el tamaño del mercado (10 cafeterías y USD 1.500 por día), conseguir los datos de ventas de SAUCO, completar las metas del paso 5 (en rojo), completar el equipo y confirmar el formato y la extensión del trabajo con la profesora.</w:t>
      </w:r>
    </w:p>
    <w:sectPr>
      <w:headerReference w:type="default" r:id="rId6"/>
      <w:footerReference w:type="default" r:id="rId7"/>
      <w:pgSz w:w="11906" w:h="16838" w:orient="portrait"/>
      <w:pgMar w:top="1440" w:right="1440" w:bottom="130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6B7280"/>
        <w:sz w:val="18"/>
        <w:szCs w:val="18"/>
      </w:rPr>
      <w:t xml:space="preserve">Página </w:t>
    </w:r>
    <w:r>
      <w:rPr>
        <w:rFonts w:ascii="Arial" w:cs="Arial" w:eastAsia="Arial" w:hAnsi="Arial"/>
        <w:color w:val="6B7280"/>
        <w:sz w:val="18"/>
        <w:szCs w:val="18"/>
      </w:rPr>
      <w:fldChar w:fldCharType="begin"/>
    </w:r>
    <w:r>
      <w:rPr>
        <w:rFonts w:ascii="Arial" w:cs="Arial" w:eastAsia="Arial" w:hAnsi="Arial"/>
        <w:color w:val="6B7280"/>
        <w:sz w:val="18"/>
        <w:szCs w:val="18"/>
      </w:rPr>
      <w:instrText xml:space="preserve">PAGE</w:instrText>
    </w:r>
    <w:r>
      <w:rPr>
        <w:rFonts w:ascii="Arial" w:cs="Arial" w:eastAsia="Arial" w:hAnsi="Arial"/>
        <w:color w:val="6B7280"/>
        <w:sz w:val="18"/>
        <w:szCs w:val="18"/>
      </w:rPr>
      <w:fldChar w:fldCharType="separate"/>
    </w:r>
    <w:r>
      <w:rPr>
        <w:rFonts w:ascii="Arial" w:cs="Arial" w:eastAsia="Arial" w:hAnsi="Arial"/>
        <w:color w:val="6B7280"/>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color w:val="6B7280"/>
        <w:sz w:val="18"/>
        <w:szCs w:val="18"/>
      </w:rPr>
      <w:t xml:space="preserve">Dirección de Marketing · TP grupal · Cafetería SAUCO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Arial" w:cs="Arial" w:eastAsia="Arial" w:hAnsi="Arial"/>
      <w:b/>
      <w:bCs/>
      <w:color w:val="1F3864"/>
      <w:sz w:val="32"/>
      <w:szCs w:val="32"/>
    </w:rPr>
  </w:style>
  <w:style w:type="paragraph" w:styleId="Heading2">
    <w:name w:val="Heading 2"/>
    <w:basedOn w:val="Normal"/>
    <w:next w:val="Normal"/>
    <w:qFormat/>
    <w:pPr>
      <w:keepNext/>
      <w:spacing w:after="120" w:before="280"/>
      <w:outlineLvl w:val="1"/>
    </w:pPr>
    <w:rPr>
      <w:rFonts w:ascii="Arial" w:cs="Arial" w:eastAsia="Arial" w:hAnsi="Arial"/>
      <w:b/>
      <w:bCs/>
      <w:color w:val="2F6FDE"/>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acef1251e46f84f54b5a7fe9f39c246f37ca068d.png"/><Relationship Id="rId10" Type="http://schemas.openxmlformats.org/officeDocument/2006/relationships/image" Target="media/a628ebf3bf15b24adee29063a39aa253b3bf9bee.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Cafetería SAUCO: estrategia de crecimiento</dc:title>
  <dc:creator>Grupo TP Dirección de Marketing</dc:creator>
  <cp:lastModifiedBy>Un-named</cp:lastModifiedBy>
  <cp:revision>1</cp:revision>
  <dcterms:created xsi:type="dcterms:W3CDTF">2026-10-20T23:57:57.711Z</dcterms:created>
  <dcterms:modified xsi:type="dcterms:W3CDTF">2026-10-20T23:57:57.718Z</dcterms:modified>
</cp:coreProperties>
</file>

<file path=docProps/custom.xml><?xml version="1.0" encoding="utf-8"?>
<Properties xmlns="http://schemas.openxmlformats.org/officeDocument/2006/custom-properties" xmlns:vt="http://schemas.openxmlformats.org/officeDocument/2006/docPropsVTypes"/>
</file>