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studo-das-funções-do-etl-parte-04"/>
    <w:p>
      <w:pPr>
        <w:pStyle w:val="Heading1"/>
      </w:pPr>
      <w:r>
        <w:t xml:space="preserve">Estudo das funções do ETL — Parte 04</w:t>
      </w:r>
    </w:p>
    <w:bookmarkStart w:id="20" w:name="X19293046d371060fc9050a4e69dead47fac66a2"/>
    <w:p>
      <w:pPr>
        <w:pStyle w:val="Heading2"/>
      </w:pPr>
      <w:r>
        <w:t xml:space="preserve">Funções auxiliares de limpeza e normalização</w:t>
      </w:r>
    </w:p>
    <w:p>
      <w:pPr>
        <w:pStyle w:val="FirstParagraph"/>
      </w:pPr>
      <w:r>
        <w:t xml:space="preserve">Depois de entender: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load_*()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ensure_*()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upsert_*()</w:t>
      </w:r>
      <w:r>
        <w:t xml:space="preserve">;</w:t>
      </w:r>
    </w:p>
    <w:p>
      <w:pPr>
        <w:pStyle w:val="FirstParagraph"/>
      </w:pPr>
      <w:r>
        <w:t xml:space="preserve">é importante estudar as funções auxiliares.</w:t>
      </w:r>
    </w:p>
    <w:p>
      <w:pPr>
        <w:pStyle w:val="BodyText"/>
      </w:pPr>
      <w:r>
        <w:t xml:space="preserve">Essas funções parecem pequenas, mas são fundamentais para a confiabilidade do ETL.</w:t>
      </w:r>
    </w:p>
    <w:p>
      <w:pPr>
        <w:pStyle w:val="BodyText"/>
      </w:pPr>
      <w:r>
        <w:t xml:space="preserve">Elas tratam problemas comuns como:</w:t>
      </w:r>
    </w:p>
    <w:p>
      <w:pPr>
        <w:pStyle w:val="Compact"/>
        <w:numPr>
          <w:ilvl w:val="0"/>
          <w:numId w:val="1002"/>
        </w:numPr>
      </w:pPr>
      <w:r>
        <w:t xml:space="preserve">nomes de colunas diferentes;</w:t>
      </w:r>
    </w:p>
    <w:p>
      <w:pPr>
        <w:pStyle w:val="Compact"/>
        <w:numPr>
          <w:ilvl w:val="0"/>
          <w:numId w:val="1002"/>
        </w:numPr>
      </w:pPr>
      <w:r>
        <w:t xml:space="preserve">materiais com zeros à esquerda;</w:t>
      </w:r>
    </w:p>
    <w:p>
      <w:pPr>
        <w:pStyle w:val="Compact"/>
        <w:numPr>
          <w:ilvl w:val="0"/>
          <w:numId w:val="1002"/>
        </w:numPr>
      </w:pPr>
      <w:r>
        <w:t xml:space="preserve">números lidos como texto;</w:t>
      </w:r>
    </w:p>
    <w:p>
      <w:pPr>
        <w:pStyle w:val="Compact"/>
        <w:numPr>
          <w:ilvl w:val="0"/>
          <w:numId w:val="1002"/>
        </w:numPr>
      </w:pPr>
      <w:r>
        <w:t xml:space="preserve">valores nulos;</w:t>
      </w:r>
    </w:p>
    <w:p>
      <w:pPr>
        <w:pStyle w:val="Compact"/>
        <w:numPr>
          <w:ilvl w:val="0"/>
          <w:numId w:val="1002"/>
        </w:numPr>
      </w:pPr>
      <w:r>
        <w:t xml:space="preserve">espaços invisíveis;</w:t>
      </w:r>
    </w:p>
    <w:p>
      <w:pPr>
        <w:pStyle w:val="Compact"/>
        <w:numPr>
          <w:ilvl w:val="0"/>
          <w:numId w:val="1002"/>
        </w:numPr>
      </w:pPr>
      <w:r>
        <w:t xml:space="preserve">caracteres especiais;</w:t>
      </w:r>
    </w:p>
    <w:p>
      <w:pPr>
        <w:pStyle w:val="Compact"/>
        <w:numPr>
          <w:ilvl w:val="0"/>
          <w:numId w:val="1002"/>
        </w:numPr>
      </w:pPr>
      <w:r>
        <w:t xml:space="preserve">formatos diferentes entre arquivos SAP e bases externas.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or-que-normalização-é-importante"/>
    <w:p>
      <w:pPr>
        <w:pStyle w:val="Heading1"/>
      </w:pPr>
      <w:r>
        <w:t xml:space="preserve">1. Por que normalização é importante?</w:t>
      </w:r>
    </w:p>
    <w:p>
      <w:pPr>
        <w:pStyle w:val="FirstParagraph"/>
      </w:pPr>
      <w:r>
        <w:t xml:space="preserve">Arquivos SAP e bases externas raramente chegam perfeitamente padronizados.</w:t>
      </w:r>
    </w:p>
    <w:p>
      <w:pPr>
        <w:pStyle w:val="BodyText"/>
      </w:pPr>
      <w:r>
        <w:t xml:space="preserve">O mesmo material pode aparecer como:</w:t>
      </w:r>
    </w:p>
    <w:p>
      <w:pPr>
        <w:pStyle w:val="SourceCode"/>
      </w:pPr>
      <w:r>
        <w:rPr>
          <w:rStyle w:val="VerbatimChar"/>
        </w:rPr>
        <w:t xml:space="preserve">4527002</w:t>
      </w:r>
      <w:r>
        <w:br/>
      </w:r>
      <w:r>
        <w:rPr>
          <w:rStyle w:val="VerbatimChar"/>
        </w:rPr>
        <w:t xml:space="preserve">04527002</w:t>
      </w:r>
      <w:r>
        <w:br/>
      </w:r>
      <w:r>
        <w:rPr>
          <w:rStyle w:val="VerbatimChar"/>
        </w:rPr>
        <w:t xml:space="preserve">4527002.0</w:t>
      </w:r>
      <w:r>
        <w:br/>
      </w:r>
      <w:r>
        <w:rPr>
          <w:rStyle w:val="VerbatimChar"/>
        </w:rPr>
        <w:t xml:space="preserve"> 4527002</w:t>
      </w:r>
    </w:p>
    <w:p>
      <w:pPr>
        <w:pStyle w:val="FirstParagraph"/>
      </w:pPr>
      <w:r>
        <w:t xml:space="preserve">Para o Python, esses valores podem ser diferentes.</w:t>
      </w:r>
    </w:p>
    <w:p>
      <w:pPr>
        <w:pStyle w:val="BodyText"/>
      </w:pPr>
      <w:r>
        <w:t xml:space="preserve">Mas para o negócio, todos representam o mesmo material.</w:t>
      </w:r>
    </w:p>
    <w:p>
      <w:pPr>
        <w:pStyle w:val="BodyText"/>
      </w:pPr>
      <w:r>
        <w:t xml:space="preserve">Se o ETL não normalizar, os joins podem falhar.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fact_estoque_snapshot.material = 4527002</w:t>
      </w:r>
    </w:p>
    <w:p>
      <w:pPr>
        <w:pStyle w:val="FirstParagraph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dim_material_grupo.material = 4527002.0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JOIN não encontra a BU</w:t>
      </w:r>
    </w:p>
    <w:p>
      <w:r>
        <w:pict>
          <v:rect style="width:0;height:1.5pt" o:hralign="center" o:hrstd="t" o:hr="t"/>
        </w:pict>
      </w:r>
    </w:p>
    <w:bookmarkEnd w:id="22"/>
    <w:bookmarkStart w:id="24" w:name="função-normalize_colname"/>
    <w:p>
      <w:pPr>
        <w:pStyle w:val="Heading1"/>
      </w:pPr>
      <w:r>
        <w:t xml:space="preserve">2. Função</w:t>
      </w:r>
      <w:r>
        <w:t xml:space="preserve"> </w:t>
      </w:r>
      <w:r>
        <w:rPr>
          <w:rStyle w:val="VerbatimChar"/>
        </w:rPr>
        <w:t xml:space="preserve">normalize_colname()</w:t>
      </w:r>
    </w:p>
    <w:p>
      <w:pPr>
        <w:pStyle w:val="FirstParagraph"/>
      </w:pPr>
      <w:r>
        <w:t xml:space="preserve">Essa função costuma padronizar nomes de colunas.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normalize_colname(c):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(c).strip()</w:t>
      </w:r>
    </w:p>
    <w:p>
      <w:pPr>
        <w:pStyle w:val="FirstParagraph"/>
      </w:pPr>
      <w:r>
        <w:t xml:space="preserve">Em versões mais completas, ela pode:</w:t>
      </w:r>
    </w:p>
    <w:p>
      <w:pPr>
        <w:pStyle w:val="Compact"/>
        <w:numPr>
          <w:ilvl w:val="0"/>
          <w:numId w:val="1003"/>
        </w:numPr>
      </w:pPr>
      <w:r>
        <w:t xml:space="preserve">remover espaços extras;</w:t>
      </w:r>
    </w:p>
    <w:p>
      <w:pPr>
        <w:pStyle w:val="Compact"/>
        <w:numPr>
          <w:ilvl w:val="0"/>
          <w:numId w:val="1003"/>
        </w:numPr>
      </w:pPr>
      <w:r>
        <w:t xml:space="preserve">tratar acentos;</w:t>
      </w:r>
    </w:p>
    <w:p>
      <w:pPr>
        <w:pStyle w:val="Compact"/>
        <w:numPr>
          <w:ilvl w:val="0"/>
          <w:numId w:val="1003"/>
        </w:numPr>
      </w:pPr>
      <w:r>
        <w:t xml:space="preserve">remover quebras de linha;</w:t>
      </w:r>
    </w:p>
    <w:p>
      <w:pPr>
        <w:pStyle w:val="Compact"/>
        <w:numPr>
          <w:ilvl w:val="0"/>
          <w:numId w:val="1003"/>
        </w:numPr>
      </w:pPr>
      <w:r>
        <w:t xml:space="preserve">padronizar tipos;</w:t>
      </w:r>
    </w:p>
    <w:p>
      <w:pPr>
        <w:pStyle w:val="Compact"/>
        <w:numPr>
          <w:ilvl w:val="0"/>
          <w:numId w:val="1003"/>
        </w:numPr>
      </w:pPr>
      <w:r>
        <w:t xml:space="preserve">converter nomes estranhos do Excel.</w:t>
      </w:r>
    </w:p>
    <w:p>
      <w:r>
        <w:pict>
          <v:rect style="width:0;height:1.5pt" o:hralign="center" o:hrstd="t" o:hr="t"/>
        </w:pict>
      </w:r>
    </w:p>
    <w:bookmarkStart w:id="23" w:name="por-que-isso-importa"/>
    <w:p>
      <w:pPr>
        <w:pStyle w:val="Heading2"/>
      </w:pPr>
      <w:r>
        <w:t xml:space="preserve">Por que isso importa?</w:t>
      </w:r>
    </w:p>
    <w:p>
      <w:pPr>
        <w:pStyle w:val="FirstParagraph"/>
      </w:pPr>
      <w:r>
        <w:t xml:space="preserve">No Excel, uma coluna pode parecer visualmente correta, mas conter:</w:t>
      </w:r>
    </w:p>
    <w:p>
      <w:pPr>
        <w:pStyle w:val="Compact"/>
        <w:numPr>
          <w:ilvl w:val="0"/>
          <w:numId w:val="1004"/>
        </w:numPr>
      </w:pPr>
      <w:r>
        <w:t xml:space="preserve">espaço no final;</w:t>
      </w:r>
    </w:p>
    <w:p>
      <w:pPr>
        <w:pStyle w:val="Compact"/>
        <w:numPr>
          <w:ilvl w:val="0"/>
          <w:numId w:val="1004"/>
        </w:numPr>
      </w:pPr>
      <w:r>
        <w:t xml:space="preserve">caractere invisível;</w:t>
      </w:r>
    </w:p>
    <w:p>
      <w:pPr>
        <w:pStyle w:val="Compact"/>
        <w:numPr>
          <w:ilvl w:val="0"/>
          <w:numId w:val="1004"/>
        </w:numPr>
      </w:pPr>
      <w:r>
        <w:t xml:space="preserve">quebra de linha;</w:t>
      </w:r>
    </w:p>
    <w:p>
      <w:pPr>
        <w:pStyle w:val="Compact"/>
        <w:numPr>
          <w:ilvl w:val="0"/>
          <w:numId w:val="1004"/>
        </w:numPr>
      </w:pPr>
      <w:r>
        <w:t xml:space="preserve">acento diferente;</w:t>
      </w:r>
    </w:p>
    <w:p>
      <w:pPr>
        <w:pStyle w:val="Compact"/>
        <w:numPr>
          <w:ilvl w:val="0"/>
          <w:numId w:val="1004"/>
        </w:numPr>
      </w:pPr>
      <w:r>
        <w:t xml:space="preserve">espaço não separável.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Área Negócio Centro Material</w:t>
      </w:r>
    </w:p>
    <w:p>
      <w:pPr>
        <w:pStyle w:val="FirstParagraph"/>
      </w:pPr>
      <w:r>
        <w:t xml:space="preserve">pode aparecer internamente como:</w:t>
      </w:r>
    </w:p>
    <w:p>
      <w:pPr>
        <w:pStyle w:val="SourceCode"/>
      </w:pPr>
      <w:r>
        <w:rPr>
          <w:rStyle w:val="VerbatimChar"/>
        </w:rPr>
        <w:t xml:space="preserve">Área Negócio Centro Material</w:t>
      </w:r>
    </w:p>
    <w:p>
      <w:pPr>
        <w:pStyle w:val="FirstParagraph"/>
      </w:pPr>
      <w:r>
        <w:t xml:space="preserve">com espaço no final.</w:t>
      </w:r>
    </w:p>
    <w:p>
      <w:pPr>
        <w:pStyle w:val="BodyText"/>
      </w:pPr>
      <w:r>
        <w:t xml:space="preserve">Sem normalização, o ETL pode dizer:</w:t>
      </w:r>
    </w:p>
    <w:p>
      <w:pPr>
        <w:pStyle w:val="SourceCode"/>
      </w:pPr>
      <w:r>
        <w:rPr>
          <w:rStyle w:val="VerbatimChar"/>
        </w:rPr>
        <w:t xml:space="preserve">coluna não encontrada</w:t>
      </w:r>
    </w:p>
    <w:p>
      <w:pPr>
        <w:pStyle w:val="FirstParagraph"/>
      </w:pPr>
      <w:r>
        <w:t xml:space="preserve">mesmo ela parecendo existir.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função-norm_material_text"/>
    <w:p>
      <w:pPr>
        <w:pStyle w:val="Heading1"/>
      </w:pPr>
      <w:r>
        <w:t xml:space="preserve">3. Função</w:t>
      </w:r>
      <w:r>
        <w:t xml:space="preserve"> </w:t>
      </w:r>
      <w:r>
        <w:rPr>
          <w:rStyle w:val="VerbatimChar"/>
        </w:rPr>
        <w:t xml:space="preserve">norm_material_text()</w:t>
      </w:r>
    </w:p>
    <w:p>
      <w:pPr>
        <w:pStyle w:val="FirstParagraph"/>
      </w:pPr>
      <w:r>
        <w:t xml:space="preserve">Essa é uma das funções mais importantes do ETL.</w:t>
      </w:r>
    </w:p>
    <w:p>
      <w:pPr>
        <w:pStyle w:val="BodyText"/>
      </w:pPr>
      <w:r>
        <w:t xml:space="preserve">Ela padroniza o código do material.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norm_material_text(x):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(x).strip()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s.endswith(</w:t>
      </w:r>
      <w:r>
        <w:rPr>
          <w:rStyle w:val="StringTok"/>
        </w:rPr>
        <w:t xml:space="preserve">".0"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s.lstrip(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</w:p>
    <w:p>
      <w:r>
        <w:pict>
          <v:rect style="width:0;height:1.5pt" o:hralign="center" o:hrstd="t" o:hr="t"/>
        </w:pict>
      </w:r>
    </w:p>
    <w:bookmarkStart w:id="28" w:name="problemas-que-ela-resolve"/>
    <w:p>
      <w:pPr>
        <w:pStyle w:val="Heading2"/>
      </w:pPr>
      <w:r>
        <w:t xml:space="preserve">Problemas que ela resolve</w:t>
      </w:r>
    </w:p>
    <w:bookmarkStart w:id="25" w:name="material-como-número-decimal"/>
    <w:p>
      <w:pPr>
        <w:pStyle w:val="Heading3"/>
      </w:pPr>
      <w:r>
        <w:t xml:space="preserve">Material como número decimal</w:t>
      </w:r>
    </w:p>
    <w:p>
      <w:pPr>
        <w:pStyle w:val="FirstParagraph"/>
      </w:pPr>
      <w:r>
        <w:t xml:space="preserve">Excel pode ler:</w:t>
      </w:r>
    </w:p>
    <w:p>
      <w:pPr>
        <w:pStyle w:val="SourceCode"/>
      </w:pPr>
      <w:r>
        <w:rPr>
          <w:rStyle w:val="VerbatimChar"/>
        </w:rPr>
        <w:t xml:space="preserve">4527002</w:t>
      </w:r>
    </w:p>
    <w:p>
      <w:pPr>
        <w:pStyle w:val="FirstParagraph"/>
      </w:pPr>
      <w:r>
        <w:t xml:space="preserve">como:</w:t>
      </w:r>
    </w:p>
    <w:p>
      <w:pPr>
        <w:pStyle w:val="SourceCode"/>
      </w:pPr>
      <w:r>
        <w:rPr>
          <w:rStyle w:val="VerbatimChar"/>
        </w:rPr>
        <w:t xml:space="preserve">4527002.0</w:t>
      </w:r>
    </w:p>
    <w:p>
      <w:pPr>
        <w:pStyle w:val="FirstParagraph"/>
      </w:pPr>
      <w:r>
        <w:t xml:space="preserve">A função transforma:</w:t>
      </w:r>
    </w:p>
    <w:p>
      <w:pPr>
        <w:pStyle w:val="SourceCode"/>
      </w:pPr>
      <w:r>
        <w:rPr>
          <w:rStyle w:val="VerbatimChar"/>
        </w:rPr>
        <w:t xml:space="preserve">4527002.0 → 4527002</w:t>
      </w:r>
    </w:p>
    <w:p>
      <w:r>
        <w:pict>
          <v:rect style="width:0;height:1.5pt" o:hralign="center" o:hrstd="t" o:hr="t"/>
        </w:pict>
      </w:r>
    </w:p>
    <w:bookmarkEnd w:id="25"/>
    <w:bookmarkStart w:id="26" w:name="material-com-zeros-à-esquerda"/>
    <w:p>
      <w:pPr>
        <w:pStyle w:val="Heading3"/>
      </w:pPr>
      <w:r>
        <w:t xml:space="preserve">Material com zeros à esquerda</w:t>
      </w:r>
    </w:p>
    <w:p>
      <w:pPr>
        <w:pStyle w:val="FirstParagraph"/>
      </w:pPr>
      <w:r>
        <w:t xml:space="preserve">Algumas bases podem trazer:</w:t>
      </w:r>
    </w:p>
    <w:p>
      <w:pPr>
        <w:pStyle w:val="SourceCode"/>
      </w:pPr>
      <w:r>
        <w:rPr>
          <w:rStyle w:val="VerbatimChar"/>
        </w:rPr>
        <w:t xml:space="preserve">0004527002</w:t>
      </w:r>
    </w:p>
    <w:p>
      <w:pPr>
        <w:pStyle w:val="FirstParagraph"/>
      </w:pPr>
      <w:r>
        <w:t xml:space="preserve">A função transforma:</w:t>
      </w:r>
    </w:p>
    <w:p>
      <w:pPr>
        <w:pStyle w:val="SourceCode"/>
      </w:pPr>
      <w:r>
        <w:rPr>
          <w:rStyle w:val="VerbatimChar"/>
        </w:rPr>
        <w:t xml:space="preserve">0004527002 → 4527002</w:t>
      </w:r>
    </w:p>
    <w:p>
      <w:r>
        <w:pict>
          <v:rect style="width:0;height:1.5pt" o:hralign="center" o:hrstd="t" o:hr="t"/>
        </w:pict>
      </w:r>
    </w:p>
    <w:bookmarkEnd w:id="26"/>
    <w:bookmarkStart w:id="27" w:name="material-com-espaços"/>
    <w:p>
      <w:pPr>
        <w:pStyle w:val="Heading3"/>
      </w:pPr>
      <w:r>
        <w:t xml:space="preserve">Material com espaços</w:t>
      </w:r>
    </w:p>
    <w:p>
      <w:pPr>
        <w:pStyle w:val="FirstParagraph"/>
      </w:pPr>
      <w:r>
        <w:t xml:space="preserve">Transforma:</w:t>
      </w:r>
    </w:p>
    <w:p>
      <w:pPr>
        <w:pStyle w:val="SourceCode"/>
      </w:pPr>
      <w:r>
        <w:rPr>
          <w:rStyle w:val="VerbatimChar"/>
        </w:rPr>
        <w:t xml:space="preserve"> 4527002  → 4527002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por-que-material-deve-ser-texto"/>
    <w:p>
      <w:pPr>
        <w:pStyle w:val="Heading1"/>
      </w:pPr>
      <w:r>
        <w:t xml:space="preserve">4. Por que material deve ser texto?</w:t>
      </w:r>
    </w:p>
    <w:p>
      <w:pPr>
        <w:pStyle w:val="FirstParagraph"/>
      </w:pPr>
      <w:r>
        <w:t xml:space="preserve">Mesmo que o código pareça numérico, material não é número matemático.</w:t>
      </w:r>
    </w:p>
    <w:p>
      <w:pPr>
        <w:pStyle w:val="BodyText"/>
      </w:pPr>
      <w:r>
        <w:t xml:space="preserve">Ele é identificador.</w:t>
      </w:r>
    </w:p>
    <w:p>
      <w:pPr>
        <w:pStyle w:val="BodyText"/>
      </w:pPr>
      <w:r>
        <w:t xml:space="preserve">Por isso deve ser tratado como texto.</w:t>
      </w:r>
    </w:p>
    <w:p>
      <w:pPr>
        <w:pStyle w:val="BodyText"/>
      </w:pPr>
      <w:r>
        <w:t xml:space="preserve">Diferença:</w:t>
      </w:r>
    </w:p>
    <w:bookmarkStart w:id="30" w:name="número"/>
    <w:p>
      <w:pPr>
        <w:pStyle w:val="Heading2"/>
      </w:pPr>
      <w:r>
        <w:t xml:space="preserve">Número</w:t>
      </w:r>
    </w:p>
    <w:p>
      <w:pPr>
        <w:pStyle w:val="SourceCode"/>
      </w:pPr>
      <w:r>
        <w:rPr>
          <w:rStyle w:val="VerbatimChar"/>
        </w:rPr>
        <w:t xml:space="preserve">serve para cálculo</w:t>
      </w:r>
    </w:p>
    <w:bookmarkEnd w:id="30"/>
    <w:bookmarkStart w:id="31" w:name="identificador"/>
    <w:p>
      <w:pPr>
        <w:pStyle w:val="Heading2"/>
      </w:pPr>
      <w:r>
        <w:t xml:space="preserve">Identificador</w:t>
      </w:r>
    </w:p>
    <w:p>
      <w:pPr>
        <w:pStyle w:val="SourceCode"/>
      </w:pPr>
      <w:r>
        <w:rPr>
          <w:rStyle w:val="VerbatimChar"/>
        </w:rPr>
        <w:t xml:space="preserve">serve para identificar uma entidade</w:t>
      </w:r>
    </w:p>
    <w:p>
      <w:pPr>
        <w:pStyle w:val="FirstParagraph"/>
      </w:pPr>
      <w:r>
        <w:t xml:space="preserve">Material SAP é identificador.</w:t>
      </w:r>
    </w:p>
    <w:p>
      <w:pPr>
        <w:pStyle w:val="BodyText"/>
      </w:pPr>
      <w:r>
        <w:t xml:space="preserve">Então é melhor guardar como:</w:t>
      </w:r>
    </w:p>
    <w:p>
      <w:pPr>
        <w:pStyle w:val="SourceCode"/>
      </w:pPr>
      <w:r>
        <w:rPr>
          <w:rStyle w:val="NormalTok"/>
        </w:rPr>
        <w:t xml:space="preserve">TEXT</w:t>
      </w:r>
    </w:p>
    <w:p>
      <w:pPr>
        <w:pStyle w:val="FirstParagraph"/>
      </w:pPr>
      <w:r>
        <w:t xml:space="preserve">não como:</w:t>
      </w:r>
    </w:p>
    <w:p>
      <w:pPr>
        <w:pStyle w:val="SourceCode"/>
      </w:pPr>
      <w:r>
        <w:rPr>
          <w:rStyle w:val="DataTypeTok"/>
        </w:rPr>
        <w:t xml:space="preserve">INTEGER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unção-as_text_series"/>
    <w:p>
      <w:pPr>
        <w:pStyle w:val="Heading1"/>
      </w:pPr>
      <w:r>
        <w:t xml:space="preserve">5. Função</w:t>
      </w:r>
      <w:r>
        <w:t xml:space="preserve"> </w:t>
      </w:r>
      <w:r>
        <w:rPr>
          <w:rStyle w:val="VerbatimChar"/>
        </w:rPr>
        <w:t xml:space="preserve">as_text_series()</w:t>
      </w:r>
    </w:p>
    <w:p>
      <w:pPr>
        <w:pStyle w:val="FirstParagraph"/>
      </w:pPr>
      <w:r>
        <w:t xml:space="preserve">Essa função geralmente transforma uma coluna Pandas em texto de forma segura.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as_text_series(s):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s.astype(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).fillna(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</w:t>
      </w:r>
    </w:p>
    <w:p>
      <w:pPr>
        <w:pStyle w:val="FirstParagraph"/>
      </w:pPr>
      <w:r>
        <w:t xml:space="preserve">Ela evita problemas com:</w:t>
      </w:r>
    </w:p>
    <w:p>
      <w:pPr>
        <w:pStyle w:val="Compact"/>
        <w:numPr>
          <w:ilvl w:val="0"/>
          <w:numId w:val="1005"/>
        </w:numPr>
      </w:pPr>
      <w:r>
        <w:t xml:space="preserve">números lidos como float;</w:t>
      </w:r>
    </w:p>
    <w:p>
      <w:pPr>
        <w:pStyle w:val="Compact"/>
        <w:numPr>
          <w:ilvl w:val="0"/>
          <w:numId w:val="1005"/>
        </w:numPr>
      </w:pPr>
      <w:r>
        <w:t xml:space="preserve">valores nulos;</w:t>
      </w:r>
    </w:p>
    <w:p>
      <w:pPr>
        <w:pStyle w:val="Compact"/>
        <w:numPr>
          <w:ilvl w:val="0"/>
          <w:numId w:val="1005"/>
        </w:numPr>
      </w:pPr>
      <w:r>
        <w:t xml:space="preserve">strings com espaços;</w:t>
      </w:r>
    </w:p>
    <w:p>
      <w:pPr>
        <w:pStyle w:val="Compact"/>
        <w:numPr>
          <w:ilvl w:val="0"/>
          <w:numId w:val="1005"/>
        </w:numPr>
      </w:pPr>
      <w:r>
        <w:t xml:space="preserve">mistura de tipos.</w:t>
      </w:r>
    </w:p>
    <w:p>
      <w:r>
        <w:pict>
          <v:rect style="width:0;height:1.5pt" o:hralign="center" o:hrstd="t" o:hr="t"/>
        </w:pict>
      </w:r>
    </w:p>
    <w:bookmarkEnd w:id="33"/>
    <w:bookmarkStart w:id="35" w:name="função-to_num-ou-conversões-numéricas"/>
    <w:p>
      <w:pPr>
        <w:pStyle w:val="Heading1"/>
      </w:pPr>
      <w:r>
        <w:t xml:space="preserve">6. Função</w:t>
      </w:r>
      <w:r>
        <w:t xml:space="preserve"> </w:t>
      </w:r>
      <w:r>
        <w:rPr>
          <w:rStyle w:val="VerbatimChar"/>
        </w:rPr>
        <w:t xml:space="preserve">to_num()</w:t>
      </w:r>
      <w:r>
        <w:t xml:space="preserve"> </w:t>
      </w:r>
      <w:r>
        <w:t xml:space="preserve">ou conversões numéricas</w:t>
      </w:r>
    </w:p>
    <w:p>
      <w:pPr>
        <w:pStyle w:val="FirstParagraph"/>
      </w:pPr>
      <w:r>
        <w:t xml:space="preserve">Arquivos SAP em português podem trazer números em formatos diferentes.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1.234,56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1234.56</w:t>
      </w:r>
    </w:p>
    <w:p>
      <w:pPr>
        <w:pStyle w:val="FirstParagraph"/>
      </w:pPr>
      <w:r>
        <w:t xml:space="preserve">ou ainda:</w:t>
      </w:r>
    </w:p>
    <w:p>
      <w:pPr>
        <w:pStyle w:val="SourceCode"/>
      </w:pPr>
      <w:r>
        <w:rPr>
          <w:rStyle w:val="VerbatimChar"/>
        </w:rPr>
        <w:t xml:space="preserve">1 234,56</w:t>
      </w:r>
    </w:p>
    <w:p>
      <w:pPr>
        <w:pStyle w:val="FirstParagraph"/>
      </w:pPr>
      <w:r>
        <w:t xml:space="preserve">O ETL precisa converter isso para número real.</w:t>
      </w:r>
    </w:p>
    <w:p>
      <w:pPr>
        <w:pStyle w:val="BodyText"/>
      </w:pPr>
      <w:r>
        <w:t xml:space="preserve">Exemplo final esperado em Python:</w:t>
      </w:r>
    </w:p>
    <w:p>
      <w:pPr>
        <w:pStyle w:val="SourceCode"/>
      </w:pPr>
      <w:r>
        <w:rPr>
          <w:rStyle w:val="FloatTok"/>
        </w:rPr>
        <w:t xml:space="preserve">1234.56</w:t>
      </w:r>
    </w:p>
    <w:p>
      <w:r>
        <w:pict>
          <v:rect style="width:0;height:1.5pt" o:hralign="center" o:hrstd="t" o:hr="t"/>
        </w:pict>
      </w:r>
    </w:p>
    <w:bookmarkStart w:id="34" w:name="problemas-comuns"/>
    <w:p>
      <w:pPr>
        <w:pStyle w:val="Heading2"/>
      </w:pPr>
      <w:r>
        <w:t xml:space="preserve">Problemas comuns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 no Excel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1.234,56</w:t>
            </w:r>
          </w:p>
        </w:tc>
        <w:tc>
          <w:tcPr/>
          <w:p>
            <w:pPr>
              <w:pStyle w:val="Compact"/>
            </w:pPr>
            <w:r>
              <w:t xml:space="preserve">padrão brasileiro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1,234.56</w:t>
            </w:r>
          </w:p>
        </w:tc>
        <w:tc>
          <w:tcPr/>
          <w:p>
            <w:pPr>
              <w:pStyle w:val="Compact"/>
            </w:pPr>
            <w:r>
              <w:t xml:space="preserve">padrão americano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vazio</w:t>
            </w:r>
          </w:p>
        </w:tc>
        <w:tc>
          <w:tcPr/>
          <w:p>
            <w:pPr>
              <w:pStyle w:val="Compact"/>
            </w:pPr>
            <w:r>
              <w:t xml:space="preserve">vira NaN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não é número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espaço invisível</w:t>
            </w:r>
          </w:p>
        </w:tc>
        <w:tc>
          <w:tcPr/>
          <w:p>
            <w:pPr>
              <w:pStyle w:val="Compact"/>
            </w:pPr>
            <w:r>
              <w:t xml:space="preserve">quebra conversão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7" w:name="função-to_sql"/>
    <w:p>
      <w:pPr>
        <w:pStyle w:val="Heading1"/>
      </w:pPr>
      <w:r>
        <w:t xml:space="preserve">7. Função</w:t>
      </w:r>
      <w:r>
        <w:t xml:space="preserve"> </w:t>
      </w:r>
      <w:r>
        <w:rPr>
          <w:rStyle w:val="VerbatimChar"/>
        </w:rPr>
        <w:t xml:space="preserve">to_sql()</w:t>
      </w:r>
    </w:p>
    <w:p>
      <w:pPr>
        <w:pStyle w:val="FirstParagraph"/>
      </w:pPr>
      <w:r>
        <w:t xml:space="preserve">Essa função prepara valores para gravar no SQLite.</w:t>
      </w:r>
    </w:p>
    <w:p>
      <w:pPr>
        <w:pStyle w:val="BodyText"/>
      </w:pPr>
      <w:r>
        <w:t xml:space="preserve">Ela costuma tratar:</w:t>
      </w:r>
    </w:p>
    <w:p>
      <w:pPr>
        <w:pStyle w:val="SourceCode"/>
      </w:pPr>
      <w:r>
        <w:rPr>
          <w:rStyle w:val="VerbatimChar"/>
        </w:rPr>
        <w:t xml:space="preserve">NaN → None</w:t>
      </w:r>
    </w:p>
    <w:p>
      <w:pPr>
        <w:pStyle w:val="FirstParagraph"/>
      </w:pPr>
      <w:r>
        <w:t xml:space="preserve">Em Python:</w:t>
      </w:r>
    </w:p>
    <w:p>
      <w:pPr>
        <w:pStyle w:val="SourceCode"/>
      </w:pP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vira no SQLite:</w:t>
      </w:r>
    </w:p>
    <w:p>
      <w:pPr>
        <w:pStyle w:val="SourceCode"/>
      </w:pP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Start w:id="36" w:name="por-que-isso-importa-1"/>
    <w:p>
      <w:pPr>
        <w:pStyle w:val="Heading2"/>
      </w:pPr>
      <w:r>
        <w:t xml:space="preserve">Por que isso importa?</w:t>
      </w:r>
    </w:p>
    <w:p>
      <w:pPr>
        <w:pStyle w:val="FirstParagraph"/>
      </w:pPr>
      <w:r>
        <w:t xml:space="preserve">Pandas usa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para nulos.</w:t>
      </w:r>
    </w:p>
    <w:p>
      <w:pPr>
        <w:pStyle w:val="BodyText"/>
      </w:pPr>
      <w:r>
        <w:t xml:space="preserve">SQLite entende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r>
        <w:t xml:space="preserve">Se gravarmos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diretamente, podemos ter comportamento inconsistente.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unção-sanitize_rows"/>
    <w:p>
      <w:pPr>
        <w:pStyle w:val="Heading1"/>
      </w:pPr>
      <w:r>
        <w:t xml:space="preserve">8. Função</w:t>
      </w:r>
      <w:r>
        <w:t xml:space="preserve"> </w:t>
      </w:r>
      <w:r>
        <w:rPr>
          <w:rStyle w:val="VerbatimChar"/>
        </w:rPr>
        <w:t xml:space="preserve">sanitize_rows()</w:t>
      </w:r>
    </w:p>
    <w:p>
      <w:pPr>
        <w:pStyle w:val="FirstParagraph"/>
      </w:pPr>
      <w:r>
        <w:t xml:space="preserve">Antes de executar</w:t>
      </w:r>
      <w:r>
        <w:t xml:space="preserve"> </w:t>
      </w:r>
      <w:r>
        <w:rPr>
          <w:rStyle w:val="VerbatimChar"/>
        </w:rPr>
        <w:t xml:space="preserve">executemany()</w:t>
      </w:r>
      <w:r>
        <w:t xml:space="preserve">, o ETL pode passar as linhas por uma função de limpeza.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sanitize_rows(rows)</w:t>
      </w:r>
    </w:p>
    <w:p>
      <w:pPr>
        <w:pStyle w:val="FirstParagraph"/>
      </w:pPr>
      <w:r>
        <w:t xml:space="preserve">Essa função remove ou corrige valores incompatíveis com SQLite.</w:t>
      </w:r>
    </w:p>
    <w:p>
      <w:pPr>
        <w:pStyle w:val="BodyText"/>
      </w:pPr>
      <w:r>
        <w:t xml:space="preserve">Pode tratar: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NaN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inf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-inf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tipos numpy;</w:t>
      </w:r>
    </w:p>
    <w:p>
      <w:pPr>
        <w:pStyle w:val="Compact"/>
        <w:numPr>
          <w:ilvl w:val="0"/>
          <w:numId w:val="1006"/>
        </w:numPr>
      </w:pPr>
      <w:r>
        <w:t xml:space="preserve">valores vazios.</w:t>
      </w:r>
    </w:p>
    <w:p>
      <w:r>
        <w:pict>
          <v:rect style="width:0;height:1.5pt" o:hralign="center" o:hrstd="t" o:hr="t"/>
        </w:pict>
      </w:r>
    </w:p>
    <w:bookmarkEnd w:id="38"/>
    <w:bookmarkStart w:id="39" w:name="função-now_ts"/>
    <w:p>
      <w:pPr>
        <w:pStyle w:val="Heading1"/>
      </w:pPr>
      <w:r>
        <w:t xml:space="preserve">9. Função</w:t>
      </w:r>
      <w:r>
        <w:t xml:space="preserve"> </w:t>
      </w:r>
      <w:r>
        <w:rPr>
          <w:rStyle w:val="VerbatimChar"/>
        </w:rPr>
        <w:t xml:space="preserve">now_ts()</w:t>
      </w:r>
    </w:p>
    <w:p>
      <w:pPr>
        <w:pStyle w:val="FirstParagraph"/>
      </w:pPr>
      <w:r>
        <w:t xml:space="preserve">Essa função geralmente retorna a data/hora atual em formato texto.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now_ts():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Usada para preencher:</w:t>
      </w:r>
    </w:p>
    <w:p>
      <w:pPr>
        <w:pStyle w:val="SourceCode"/>
      </w:pPr>
      <w:r>
        <w:rPr>
          <w:rStyle w:val="VerbatimChar"/>
        </w:rPr>
        <w:t xml:space="preserve">load_ts</w:t>
      </w:r>
    </w:p>
    <w:p>
      <w:pPr>
        <w:pStyle w:val="FirstParagraph"/>
      </w:pPr>
      <w:r>
        <w:t xml:space="preserve">Isso permite saber quando a carga ocorreu.</w:t>
      </w:r>
    </w:p>
    <w:p>
      <w:r>
        <w:pict>
          <v:rect style="width:0;height:1.5pt" o:hralign="center" o:hrstd="t" o:hr="t"/>
        </w:pict>
      </w:r>
    </w:p>
    <w:bookmarkEnd w:id="39"/>
    <w:bookmarkStart w:id="41" w:name="função-to_date_str"/>
    <w:p>
      <w:pPr>
        <w:pStyle w:val="Heading1"/>
      </w:pPr>
      <w:r>
        <w:t xml:space="preserve">10. Função</w:t>
      </w:r>
      <w:r>
        <w:t xml:space="preserve"> </w:t>
      </w:r>
      <w:r>
        <w:rPr>
          <w:rStyle w:val="VerbatimChar"/>
        </w:rPr>
        <w:t xml:space="preserve">to_date_str()</w:t>
      </w:r>
    </w:p>
    <w:p>
      <w:pPr>
        <w:pStyle w:val="FirstParagraph"/>
      </w:pPr>
      <w:r>
        <w:t xml:space="preserve">Padroniza datas no formato:</w:t>
      </w:r>
    </w:p>
    <w:p>
      <w:pPr>
        <w:pStyle w:val="SourceCode"/>
      </w:pPr>
      <w:r>
        <w:rPr>
          <w:rStyle w:val="VerbatimChar"/>
        </w:rPr>
        <w:t xml:space="preserve">YYYY-MM-DD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ErrorTok"/>
        </w:rPr>
        <w:t xml:space="preserve">5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</w:t>
      </w:r>
    </w:p>
    <w:p>
      <w:pPr>
        <w:pStyle w:val="FirstParagraph"/>
      </w:pPr>
      <w:r>
        <w:t xml:space="preserve">Esse padrão é importante porque ordena bem como texto no SQLite.</w:t>
      </w:r>
    </w:p>
    <w:p>
      <w:r>
        <w:pict>
          <v:rect style="width:0;height:1.5pt" o:hralign="center" o:hrstd="t" o:hr="t"/>
        </w:pict>
      </w:r>
    </w:p>
    <w:bookmarkStart w:id="40" w:name="por-que-yyyy-mm-dd-é-bom"/>
    <w:p>
      <w:pPr>
        <w:pStyle w:val="Heading2"/>
      </w:pPr>
      <w:r>
        <w:t xml:space="preserve">Por que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é bom?</w:t>
      </w:r>
    </w:p>
    <w:p>
      <w:pPr>
        <w:pStyle w:val="FirstParagraph"/>
      </w:pPr>
      <w:r>
        <w:t xml:space="preserve">Porque a ordenação textual funciona corretamente:</w:t>
      </w:r>
    </w:p>
    <w:p>
      <w:pPr>
        <w:pStyle w:val="SourceCode"/>
      </w:pPr>
      <w:r>
        <w:rPr>
          <w:rStyle w:val="VerbatimChar"/>
        </w:rPr>
        <w:t xml:space="preserve">2026-01-01</w:t>
      </w:r>
      <w:r>
        <w:br/>
      </w:r>
      <w:r>
        <w:rPr>
          <w:rStyle w:val="VerbatimChar"/>
        </w:rPr>
        <w:t xml:space="preserve">2026-02-01</w:t>
      </w:r>
      <w:r>
        <w:br/>
      </w:r>
      <w:r>
        <w:rPr>
          <w:rStyle w:val="VerbatimChar"/>
        </w:rPr>
        <w:t xml:space="preserve">2026-05-11</w:t>
      </w:r>
    </w:p>
    <w:p>
      <w:pPr>
        <w:pStyle w:val="FirstParagraph"/>
      </w:pPr>
      <w:r>
        <w:t xml:space="preserve">Se usássemos:</w:t>
      </w:r>
    </w:p>
    <w:p>
      <w:pPr>
        <w:pStyle w:val="SourceCode"/>
      </w:pPr>
      <w:r>
        <w:rPr>
          <w:rStyle w:val="VerbatimChar"/>
        </w:rPr>
        <w:t xml:space="preserve">11/05/2026</w:t>
      </w:r>
    </w:p>
    <w:p>
      <w:pPr>
        <w:pStyle w:val="FirstParagraph"/>
      </w:pPr>
      <w:r>
        <w:t xml:space="preserve">a ordenação textual poderia ficar incorreta.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função-print_step"/>
    <w:p>
      <w:pPr>
        <w:pStyle w:val="Heading1"/>
      </w:pPr>
      <w:r>
        <w:t xml:space="preserve">11. Função</w:t>
      </w:r>
      <w:r>
        <w:t xml:space="preserve"> </w:t>
      </w:r>
      <w:r>
        <w:rPr>
          <w:rStyle w:val="VerbatimChar"/>
        </w:rPr>
        <w:t xml:space="preserve">print_step()</w:t>
      </w:r>
    </w:p>
    <w:p>
      <w:pPr>
        <w:pStyle w:val="FirstParagraph"/>
      </w:pPr>
      <w:r>
        <w:t xml:space="preserve">Essa função organiza mensagens de log no terminal.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NormalTok"/>
        </w:rPr>
        <w:t xml:space="preserve">print_step(</w:t>
      </w:r>
      <w:r>
        <w:rPr>
          <w:rStyle w:val="StringTok"/>
        </w:rPr>
        <w:t xml:space="preserve">"SAP: usando arquivo Materiais11052026.xlsx"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Ela ajuda a acompanhar o ETL.</w:t>
      </w:r>
    </w:p>
    <w:p>
      <w:pPr>
        <w:pStyle w:val="BodyText"/>
      </w:pPr>
      <w:r>
        <w:t xml:space="preserve">Com logs claros, é possível responder:</w:t>
      </w:r>
    </w:p>
    <w:p>
      <w:pPr>
        <w:pStyle w:val="Compact"/>
        <w:numPr>
          <w:ilvl w:val="0"/>
          <w:numId w:val="1007"/>
        </w:numPr>
      </w:pPr>
      <w:r>
        <w:t xml:space="preserve">qual arquivo foi usado;</w:t>
      </w:r>
    </w:p>
    <w:p>
      <w:pPr>
        <w:pStyle w:val="Compact"/>
        <w:numPr>
          <w:ilvl w:val="0"/>
          <w:numId w:val="1007"/>
        </w:numPr>
      </w:pPr>
      <w:r>
        <w:t xml:space="preserve">quantas linhas foram carregadas;</w:t>
      </w:r>
    </w:p>
    <w:p>
      <w:pPr>
        <w:pStyle w:val="Compact"/>
        <w:numPr>
          <w:ilvl w:val="0"/>
          <w:numId w:val="1007"/>
        </w:numPr>
      </w:pPr>
      <w:r>
        <w:t xml:space="preserve">qual etapa falhou;</w:t>
      </w:r>
    </w:p>
    <w:p>
      <w:pPr>
        <w:pStyle w:val="Compact"/>
        <w:numPr>
          <w:ilvl w:val="0"/>
          <w:numId w:val="1007"/>
        </w:numPr>
      </w:pPr>
      <w:r>
        <w:t xml:space="preserve">qual banco foi atualizado.</w:t>
      </w:r>
    </w:p>
    <w:p>
      <w:r>
        <w:pict>
          <v:rect style="width:0;height:1.5pt" o:hralign="center" o:hrstd="t" o:hr="t"/>
        </w:pict>
      </w:r>
    </w:p>
    <w:bookmarkEnd w:id="42"/>
    <w:bookmarkStart w:id="44" w:name="função-pick_latest_xlsx"/>
    <w:p>
      <w:pPr>
        <w:pStyle w:val="Heading1"/>
      </w:pPr>
      <w:r>
        <w:t xml:space="preserve">12. Função</w:t>
      </w:r>
      <w:r>
        <w:t xml:space="preserve"> </w:t>
      </w:r>
      <w:r>
        <w:rPr>
          <w:rStyle w:val="VerbatimChar"/>
        </w:rPr>
        <w:t xml:space="preserve">pick_latest_xlsx()</w:t>
      </w:r>
    </w:p>
    <w:p>
      <w:pPr>
        <w:pStyle w:val="FirstParagraph"/>
      </w:pPr>
      <w:r>
        <w:t xml:space="preserve">Essa função escolhe o arquivo Excel mais recente de uma pasta.</w:t>
      </w:r>
    </w:p>
    <w:p>
      <w:pPr>
        <w:pStyle w:val="BodyText"/>
      </w:pPr>
      <w:r>
        <w:t xml:space="preserve">Ela geralmente:</w:t>
      </w:r>
    </w:p>
    <w:p>
      <w:pPr>
        <w:pStyle w:val="Compact"/>
        <w:numPr>
          <w:ilvl w:val="0"/>
          <w:numId w:val="1008"/>
        </w:numPr>
      </w:pPr>
      <w:r>
        <w:t xml:space="preserve">lista arquivos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ignora arquivos temporários</w:t>
      </w:r>
      <w:r>
        <w:t xml:space="preserve"> </w:t>
      </w:r>
      <w:r>
        <w:rPr>
          <w:rStyle w:val="VerbatimChar"/>
        </w:rPr>
        <w:t xml:space="preserve">~$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pega o mais recente por data de modificação.</w:t>
      </w:r>
    </w:p>
    <w:p>
      <w:pPr>
        <w:pStyle w:val="FirstParagraph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pasta SAP_IN → arquivo mais recente → load_sap()</w:t>
      </w:r>
    </w:p>
    <w:p>
      <w:r>
        <w:pict>
          <v:rect style="width:0;height:1.5pt" o:hralign="center" o:hrstd="t" o:hr="t"/>
        </w:pict>
      </w:r>
    </w:p>
    <w:bookmarkStart w:id="43" w:name="risco-dessa-lógica"/>
    <w:p>
      <w:pPr>
        <w:pStyle w:val="Heading2"/>
      </w:pPr>
      <w:r>
        <w:t xml:space="preserve">Risco dessa lógica</w:t>
      </w:r>
    </w:p>
    <w:p>
      <w:pPr>
        <w:pStyle w:val="FirstParagraph"/>
      </w:pPr>
      <w:r>
        <w:t xml:space="preserve">Se alguém salvar arquivo errado com data mais recente, o ETL pode usar o arquivo errado.</w:t>
      </w:r>
    </w:p>
    <w:p>
      <w:pPr>
        <w:pStyle w:val="BodyText"/>
      </w:pPr>
      <w:r>
        <w:t xml:space="preserve">Por isso no futuro faz sentido adicionar validações pré-ETL, como:</w:t>
      </w:r>
    </w:p>
    <w:p>
      <w:pPr>
        <w:pStyle w:val="Compact"/>
        <w:numPr>
          <w:ilvl w:val="0"/>
          <w:numId w:val="1009"/>
        </w:numPr>
      </w:pPr>
      <w:r>
        <w:t xml:space="preserve">conferir nome esperado;</w:t>
      </w:r>
    </w:p>
    <w:p>
      <w:pPr>
        <w:pStyle w:val="Compact"/>
        <w:numPr>
          <w:ilvl w:val="0"/>
          <w:numId w:val="1009"/>
        </w:numPr>
      </w:pPr>
      <w:r>
        <w:t xml:space="preserve">conferir aba;</w:t>
      </w:r>
    </w:p>
    <w:p>
      <w:pPr>
        <w:pStyle w:val="Compact"/>
        <w:numPr>
          <w:ilvl w:val="0"/>
          <w:numId w:val="1009"/>
        </w:numPr>
      </w:pPr>
      <w:r>
        <w:t xml:space="preserve">conferir colunas obrigatórias;</w:t>
      </w:r>
    </w:p>
    <w:p>
      <w:pPr>
        <w:pStyle w:val="Compact"/>
        <w:numPr>
          <w:ilvl w:val="0"/>
          <w:numId w:val="1009"/>
        </w:numPr>
      </w:pPr>
      <w:r>
        <w:t xml:space="preserve">rejeitar arquivo vazio;</w:t>
      </w:r>
    </w:p>
    <w:p>
      <w:pPr>
        <w:pStyle w:val="Compact"/>
        <w:numPr>
          <w:ilvl w:val="0"/>
          <w:numId w:val="1009"/>
        </w:numPr>
      </w:pPr>
      <w:r>
        <w:t xml:space="preserve">rejeitar arquivo temporário.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normalização-de-texto-e-unicode"/>
    <w:p>
      <w:pPr>
        <w:pStyle w:val="Heading1"/>
      </w:pPr>
      <w:r>
        <w:t xml:space="preserve">13. Normalização de texto e Unicode</w:t>
      </w:r>
    </w:p>
    <w:p>
      <w:pPr>
        <w:pStyle w:val="FirstParagraph"/>
      </w:pPr>
      <w:r>
        <w:t xml:space="preserve">Algumas funções também podem tratar problemas de Unicode.</w:t>
      </w:r>
    </w:p>
    <w:p>
      <w:pPr>
        <w:pStyle w:val="BodyText"/>
      </w:pPr>
      <w:r>
        <w:t xml:space="preserve">Exemplos de caracteres problemáticos:</w:t>
      </w:r>
    </w:p>
    <w:p>
      <w:pPr>
        <w:pStyle w:val="Compact"/>
        <w:numPr>
          <w:ilvl w:val="0"/>
          <w:numId w:val="1010"/>
        </w:numPr>
      </w:pPr>
      <w:r>
        <w:t xml:space="preserve">espaço invisível;</w:t>
      </w:r>
    </w:p>
    <w:p>
      <w:pPr>
        <w:pStyle w:val="Compact"/>
        <w:numPr>
          <w:ilvl w:val="0"/>
          <w:numId w:val="1010"/>
        </w:numPr>
      </w:pPr>
      <w:r>
        <w:t xml:space="preserve">NBSP;</w:t>
      </w:r>
    </w:p>
    <w:p>
      <w:pPr>
        <w:pStyle w:val="Compact"/>
        <w:numPr>
          <w:ilvl w:val="0"/>
          <w:numId w:val="1010"/>
        </w:numPr>
      </w:pPr>
      <w:r>
        <w:t xml:space="preserve">BOM;</w:t>
      </w:r>
    </w:p>
    <w:p>
      <w:pPr>
        <w:pStyle w:val="Compact"/>
        <w:numPr>
          <w:ilvl w:val="0"/>
          <w:numId w:val="1010"/>
        </w:numPr>
      </w:pPr>
      <w:r>
        <w:t xml:space="preserve">hífen diferente;</w:t>
      </w:r>
    </w:p>
    <w:p>
      <w:pPr>
        <w:pStyle w:val="Compact"/>
        <w:numPr>
          <w:ilvl w:val="0"/>
          <w:numId w:val="1010"/>
        </w:numPr>
      </w:pPr>
      <w:r>
        <w:t xml:space="preserve">acento composto.</w:t>
      </w:r>
    </w:p>
    <w:p>
      <w:pPr>
        <w:pStyle w:val="FirstParagraph"/>
      </w:pPr>
      <w:r>
        <w:t xml:space="preserve">Esses caracteres podem fazer duas strings visualmente iguais serem tecnicamente diferentes.</w:t>
      </w:r>
    </w:p>
    <w:p>
      <w:r>
        <w:pict>
          <v:rect style="width:0;height:1.5pt" o:hralign="center" o:hrstd="t" o:hr="t"/>
        </w:pict>
      </w:r>
    </w:p>
    <w:bookmarkEnd w:id="45"/>
    <w:bookmarkStart w:id="46" w:name="exemplo-real-bu"/>
    <w:p>
      <w:pPr>
        <w:pStyle w:val="Heading1"/>
      </w:pPr>
      <w:r>
        <w:t xml:space="preserve">14. Exemplo real: BU</w:t>
      </w:r>
    </w:p>
    <w:p>
      <w:pPr>
        <w:pStyle w:val="FirstParagraph"/>
      </w:pPr>
      <w:r>
        <w:t xml:space="preserve">A BU pode aparecer como:</w:t>
      </w:r>
    </w:p>
    <w:p>
      <w:pPr>
        <w:pStyle w:val="SourceCode"/>
      </w:pPr>
      <w:r>
        <w:rPr>
          <w:rStyle w:val="VerbatimChar"/>
        </w:rPr>
        <w:t xml:space="preserve">Sup SEGURANCA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Sup SEGURANÇA</w:t>
      </w:r>
    </w:p>
    <w:p>
      <w:pPr>
        <w:pStyle w:val="FirstParagraph"/>
      </w:pPr>
      <w:r>
        <w:t xml:space="preserve">ou com espaço invisível no final.</w:t>
      </w:r>
    </w:p>
    <w:p>
      <w:pPr>
        <w:pStyle w:val="BodyText"/>
      </w:pPr>
      <w:r>
        <w:t xml:space="preserve">Se o texto não for normalizado, o painel pode criar filtros duplicados.</w:t>
      </w:r>
    </w:p>
    <w:p>
      <w:r>
        <w:pict>
          <v:rect style="width:0;height:1.5pt" o:hralign="center" o:hrstd="t" o:hr="t"/>
        </w:pict>
      </w:r>
    </w:p>
    <w:bookmarkEnd w:id="46"/>
    <w:bookmarkStart w:id="47" w:name="X47cd2f104518612fd5bb3b707aaa3e63a4efd4c"/>
    <w:p>
      <w:pPr>
        <w:pStyle w:val="Heading1"/>
      </w:pPr>
      <w:r>
        <w:t xml:space="preserve">15. Por que essas funções pequenas são tão importantes?</w:t>
      </w:r>
    </w:p>
    <w:p>
      <w:pPr>
        <w:pStyle w:val="FirstParagraph"/>
      </w:pPr>
      <w:r>
        <w:t xml:space="preserve">Porque elas protegem o ETL contra sujeira operacional.</w:t>
      </w:r>
    </w:p>
    <w:p>
      <w:pPr>
        <w:pStyle w:val="BodyText"/>
      </w:pPr>
      <w:r>
        <w:t xml:space="preserve">Arquivos reais têm problemas.</w:t>
      </w:r>
    </w:p>
    <w:p>
      <w:pPr>
        <w:pStyle w:val="BodyText"/>
      </w:pPr>
      <w:r>
        <w:t xml:space="preserve">O trabalho dessas funções é transformar dados imperfeitos em dados confiáveis.</w:t>
      </w:r>
    </w:p>
    <w:p>
      <w:pPr>
        <w:pStyle w:val="BodyText"/>
      </w:pPr>
      <w:r>
        <w:t xml:space="preserve">Sem elas, o banco ficaria vulnerável a:</w:t>
      </w:r>
    </w:p>
    <w:p>
      <w:pPr>
        <w:pStyle w:val="Compact"/>
        <w:numPr>
          <w:ilvl w:val="0"/>
          <w:numId w:val="1011"/>
        </w:numPr>
      </w:pPr>
      <w:r>
        <w:t xml:space="preserve">joins quebrados;</w:t>
      </w:r>
    </w:p>
    <w:p>
      <w:pPr>
        <w:pStyle w:val="Compact"/>
        <w:numPr>
          <w:ilvl w:val="0"/>
          <w:numId w:val="1011"/>
        </w:numPr>
      </w:pPr>
      <w:r>
        <w:t xml:space="preserve">colunas não encontradas;</w:t>
      </w:r>
    </w:p>
    <w:p>
      <w:pPr>
        <w:pStyle w:val="Compact"/>
        <w:numPr>
          <w:ilvl w:val="0"/>
          <w:numId w:val="1011"/>
        </w:numPr>
      </w:pPr>
      <w:r>
        <w:t xml:space="preserve">materiais duplicados;</w:t>
      </w:r>
    </w:p>
    <w:p>
      <w:pPr>
        <w:pStyle w:val="Compact"/>
        <w:numPr>
          <w:ilvl w:val="0"/>
          <w:numId w:val="1011"/>
        </w:numPr>
      </w:pPr>
      <w:r>
        <w:t xml:space="preserve">valores errados;</w:t>
      </w:r>
    </w:p>
    <w:p>
      <w:pPr>
        <w:pStyle w:val="Compact"/>
        <w:numPr>
          <w:ilvl w:val="0"/>
          <w:numId w:val="1011"/>
        </w:numPr>
      </w:pPr>
      <w:r>
        <w:t xml:space="preserve">filtros duplicados;</w:t>
      </w:r>
    </w:p>
    <w:p>
      <w:pPr>
        <w:pStyle w:val="Compact"/>
        <w:numPr>
          <w:ilvl w:val="0"/>
          <w:numId w:val="1011"/>
        </w:numPr>
      </w:pPr>
      <w:r>
        <w:t xml:space="preserve">KPIs inconsistentes.</w:t>
      </w:r>
    </w:p>
    <w:p>
      <w:r>
        <w:pict>
          <v:rect style="width:0;height:1.5pt" o:hralign="center" o:hrstd="t" o:hr="t"/>
        </w:pict>
      </w:r>
    </w:p>
    <w:bookmarkEnd w:id="47"/>
    <w:bookmarkStart w:id="48" w:name="camada-de-saneamento"/>
    <w:p>
      <w:pPr>
        <w:pStyle w:val="Heading1"/>
      </w:pPr>
      <w:r>
        <w:t xml:space="preserve">16. Camada de saneamento</w:t>
      </w:r>
    </w:p>
    <w:p>
      <w:pPr>
        <w:pStyle w:val="FirstParagraph"/>
      </w:pPr>
      <w:r>
        <w:t xml:space="preserve">Podemos pensar nessas funções como uma camada de saneamento:</w:t>
      </w:r>
    </w:p>
    <w:p>
      <w:pPr>
        <w:pStyle w:val="SourceCode"/>
      </w:pPr>
      <w:r>
        <w:rPr>
          <w:rStyle w:val="VerbatimChar"/>
        </w:rPr>
        <w:t xml:space="preserve">arquivo bruto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normalização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dado limpo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SQLite</w:t>
      </w:r>
    </w:p>
    <w:p>
      <w:r>
        <w:pict>
          <v:rect style="width:0;height:1.5pt" o:hralign="center" o:hrstd="t" o:hr="t"/>
        </w:pict>
      </w:r>
    </w:p>
    <w:bookmarkEnd w:id="48"/>
    <w:bookmarkStart w:id="49" w:name="relação-com-qualidade-de-dados"/>
    <w:p>
      <w:pPr>
        <w:pStyle w:val="Heading1"/>
      </w:pPr>
      <w:r>
        <w:t xml:space="preserve">17. Relação com qualidade de dados</w:t>
      </w:r>
    </w:p>
    <w:p>
      <w:pPr>
        <w:pStyle w:val="FirstParagraph"/>
      </w:pPr>
      <w:r>
        <w:t xml:space="preserve">A qualidade do painel depende da qualidade dessas funções.</w:t>
      </w:r>
    </w:p>
    <w:p>
      <w:pPr>
        <w:pStyle w:val="BodyText"/>
      </w:pPr>
      <w:r>
        <w:t xml:space="preserve">Um erro pequeno como:</w:t>
      </w:r>
    </w:p>
    <w:p>
      <w:pPr>
        <w:pStyle w:val="SourceCode"/>
      </w:pPr>
      <w:r>
        <w:rPr>
          <w:rStyle w:val="VerbatimChar"/>
        </w:rPr>
        <w:t xml:space="preserve">4527002.0 ≠ 4527002</w:t>
      </w:r>
    </w:p>
    <w:p>
      <w:pPr>
        <w:pStyle w:val="FirstParagraph"/>
      </w:pPr>
      <w:r>
        <w:t xml:space="preserve">pode fazer:</w:t>
      </w:r>
    </w:p>
    <w:p>
      <w:pPr>
        <w:pStyle w:val="Compact"/>
        <w:numPr>
          <w:ilvl w:val="0"/>
          <w:numId w:val="1012"/>
        </w:numPr>
      </w:pPr>
      <w:r>
        <w:t xml:space="preserve">BU desaparecer;</w:t>
      </w:r>
    </w:p>
    <w:p>
      <w:pPr>
        <w:pStyle w:val="Compact"/>
        <w:numPr>
          <w:ilvl w:val="0"/>
          <w:numId w:val="1012"/>
        </w:numPr>
      </w:pPr>
      <w:r>
        <w:t xml:space="preserve">custo não cruzar;</w:t>
      </w:r>
    </w:p>
    <w:p>
      <w:pPr>
        <w:pStyle w:val="Compact"/>
        <w:numPr>
          <w:ilvl w:val="0"/>
          <w:numId w:val="1012"/>
        </w:numPr>
      </w:pPr>
      <w:r>
        <w:t xml:space="preserve">material ficar como SEM_BU;</w:t>
      </w:r>
    </w:p>
    <w:p>
      <w:pPr>
        <w:pStyle w:val="Compact"/>
        <w:numPr>
          <w:ilvl w:val="0"/>
          <w:numId w:val="1012"/>
        </w:numPr>
      </w:pPr>
      <w:r>
        <w:t xml:space="preserve">KPI por BU ficar incorreto.</w:t>
      </w:r>
    </w:p>
    <w:p>
      <w:r>
        <w:pict>
          <v:rect style="width:0;height:1.5pt" o:hralign="center" o:hrstd="t" o:hr="t"/>
        </w:pict>
      </w:r>
    </w:p>
    <w:bookmarkEnd w:id="49"/>
    <w:bookmarkStart w:id="50" w:name="aprendizado-principal-desta-parte"/>
    <w:p>
      <w:pPr>
        <w:pStyle w:val="Heading1"/>
      </w:pPr>
      <w:r>
        <w:t xml:space="preserve">18. Aprendizado principal desta parte</w:t>
      </w:r>
    </w:p>
    <w:p>
      <w:pPr>
        <w:pStyle w:val="FirstParagraph"/>
      </w:pPr>
      <w:r>
        <w:t xml:space="preserve">As funções auxiliares são a base da confiabilidade.</w:t>
      </w:r>
    </w:p>
    <w:p>
      <w:pPr>
        <w:pStyle w:val="BodyText"/>
      </w:pPr>
      <w:r>
        <w:t xml:space="preserve">Elas não aparecem no dashboard, mas sustentam tudo que aparece nele.</w:t>
      </w:r>
    </w:p>
    <w:p>
      <w:pPr>
        <w:pStyle w:val="BodyText"/>
      </w:pPr>
      <w:r>
        <w:t xml:space="preserve">Podemos resumir assim:</w:t>
      </w:r>
    </w:p>
    <w:p>
      <w:pPr>
        <w:pStyle w:val="SourceCode"/>
      </w:pPr>
      <w:r>
        <w:rPr>
          <w:rStyle w:val="VerbatimChar"/>
        </w:rPr>
        <w:t xml:space="preserve">load_*() lê</w:t>
      </w:r>
      <w:r>
        <w:br/>
      </w:r>
      <w:r>
        <w:rPr>
          <w:rStyle w:val="VerbatimChar"/>
        </w:rPr>
        <w:t xml:space="preserve">ensure_*() estrutura</w:t>
      </w:r>
      <w:r>
        <w:br/>
      </w:r>
      <w:r>
        <w:rPr>
          <w:rStyle w:val="VerbatimChar"/>
        </w:rPr>
        <w:t xml:space="preserve">upsert_*() grava</w:t>
      </w:r>
      <w:r>
        <w:br/>
      </w:r>
      <w:r>
        <w:rPr>
          <w:rStyle w:val="VerbatimChar"/>
        </w:rPr>
        <w:t xml:space="preserve">funções auxiliares limpam e padronizam</w:t>
      </w:r>
    </w:p>
    <w:p>
      <w:r>
        <w:pict>
          <v:rect style="width:0;height:1.5pt" o:hralign="center" o:hrstd="t" o:hr="t"/>
        </w:pict>
      </w:r>
    </w:p>
    <w:bookmarkEnd w:id="50"/>
    <w:bookmarkStart w:id="51" w:name="mapa-mental"/>
    <w:p>
      <w:pPr>
        <w:pStyle w:val="Heading1"/>
      </w:pPr>
      <w:r>
        <w:t xml:space="preserve">19. Mapa mental</w:t>
      </w:r>
    </w:p>
    <w:p>
      <w:pPr>
        <w:pStyle w:val="SourceCode"/>
      </w:pPr>
      <w:r>
        <w:rPr>
          <w:rStyle w:val="VerbatimChar"/>
        </w:rPr>
        <w:t xml:space="preserve">Excel SAP / Bases externas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normalize_colname()</w:t>
      </w:r>
      <w:r>
        <w:br/>
      </w:r>
      <w:r>
        <w:rPr>
          <w:rStyle w:val="VerbatimChar"/>
        </w:rPr>
        <w:t xml:space="preserve">norm_material_text()</w:t>
      </w:r>
      <w:r>
        <w:br/>
      </w:r>
      <w:r>
        <w:rPr>
          <w:rStyle w:val="VerbatimChar"/>
        </w:rPr>
        <w:t xml:space="preserve">as_text_series()</w:t>
      </w:r>
      <w:r>
        <w:br/>
      </w:r>
      <w:r>
        <w:rPr>
          <w:rStyle w:val="VerbatimChar"/>
        </w:rPr>
        <w:t xml:space="preserve">to_num()</w:t>
      </w:r>
      <w:r>
        <w:br/>
      </w:r>
      <w:r>
        <w:rPr>
          <w:rStyle w:val="VerbatimChar"/>
        </w:rPr>
        <w:t xml:space="preserve">to_sql()</w:t>
      </w:r>
      <w:r>
        <w:br/>
      </w:r>
      <w:r>
        <w:rPr>
          <w:rStyle w:val="VerbatimChar"/>
        </w:rPr>
        <w:t xml:space="preserve">sanitize_rows()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DataFrame limpo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upsert_*()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SQLite confiável</w:t>
      </w:r>
    </w:p>
    <w:p>
      <w:r>
        <w:pict>
          <v:rect style="width:0;height:1.5pt" o:hralign="center" o:hrstd="t" o:hr="t"/>
        </w:pict>
      </w:r>
    </w:p>
    <w:bookmarkEnd w:id="51"/>
    <w:bookmarkStart w:id="52" w:name="próximo-estudo-sugerido"/>
    <w:p>
      <w:pPr>
        <w:pStyle w:val="Heading1"/>
      </w:pPr>
      <w:r>
        <w:t xml:space="preserve">20. Próximo estudo sugerido</w:t>
      </w:r>
    </w:p>
    <w:p>
      <w:pPr>
        <w:pStyle w:val="FirstParagraph"/>
      </w:pPr>
      <w:r>
        <w:t xml:space="preserve">Depois das funções auxiliares, o próximo passo é estudar:</w:t>
      </w:r>
    </w:p>
    <w:p>
      <w:pPr>
        <w:pStyle w:val="Compact"/>
        <w:numPr>
          <w:ilvl w:val="0"/>
          <w:numId w:val="1013"/>
        </w:numPr>
      </w:pPr>
      <w:r>
        <w:t xml:space="preserve">cálculo do baseline;</w:t>
      </w:r>
    </w:p>
    <w:p>
      <w:pPr>
        <w:pStyle w:val="Compact"/>
        <w:numPr>
          <w:ilvl w:val="0"/>
          <w:numId w:val="1013"/>
        </w:numPr>
      </w:pPr>
      <w:r>
        <w:t xml:space="preserve">cálculo dos KPIs;</w:t>
      </w:r>
    </w:p>
    <w:p>
      <w:pPr>
        <w:pStyle w:val="Compact"/>
        <w:numPr>
          <w:ilvl w:val="0"/>
          <w:numId w:val="1013"/>
        </w:numPr>
      </w:pPr>
      <w:r>
        <w:t xml:space="preserve">lógica dos quadrantes;</w:t>
      </w:r>
    </w:p>
    <w:p>
      <w:pPr>
        <w:pStyle w:val="Compact"/>
        <w:numPr>
          <w:ilvl w:val="0"/>
          <w:numId w:val="1013"/>
        </w:numPr>
      </w:pPr>
      <w:r>
        <w:t xml:space="preserve">como o Streamlit consulta o banco.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2026-05-12T19:52:08Z</dcterms:created>
  <dcterms:modified xsi:type="dcterms:W3CDTF">2026-05-12T19:52:08Z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