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70479" w14:textId="77777777" w:rsidR="00D74681" w:rsidRPr="00A15B9B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B1375CA" w14:textId="3767B6C8" w:rsidR="00D74681" w:rsidRPr="00A15B9B" w:rsidRDefault="00375623" w:rsidP="00D74681">
      <w:pPr>
        <w:spacing w:after="0" w:line="276" w:lineRule="auto"/>
        <w:jc w:val="both"/>
        <w:rPr>
          <w:rFonts w:ascii="Arial" w:hAnsi="Arial" w:cs="Arial"/>
          <w:bCs/>
        </w:rPr>
      </w:pPr>
      <w:r w:rsidRPr="00A15B9B">
        <w:rPr>
          <w:rFonts w:ascii="Arial" w:hAnsi="Arial" w:cs="Arial"/>
          <w:bCs/>
        </w:rPr>
        <w:t>1</w:t>
      </w:r>
      <w:r w:rsidR="00D74681" w:rsidRPr="00A15B9B">
        <w:rPr>
          <w:rFonts w:ascii="Arial" w:hAnsi="Arial" w:cs="Arial"/>
          <w:bCs/>
        </w:rPr>
        <w:t xml:space="preserve">00 </w:t>
      </w:r>
    </w:p>
    <w:p w14:paraId="5FE9A523" w14:textId="217126B4" w:rsidR="00626012" w:rsidRPr="00A15B9B" w:rsidRDefault="00626012" w:rsidP="00D74681">
      <w:pPr>
        <w:spacing w:after="0" w:line="276" w:lineRule="auto"/>
        <w:jc w:val="both"/>
        <w:rPr>
          <w:rFonts w:ascii="Arial" w:hAnsi="Arial" w:cs="Arial"/>
          <w:bCs/>
        </w:rPr>
      </w:pPr>
      <w:r w:rsidRPr="00A15B9B">
        <w:rPr>
          <w:rFonts w:ascii="Arial" w:hAnsi="Arial" w:cs="Arial"/>
          <w:bCs/>
        </w:rPr>
        <w:t>Contrato 1195 de 2016</w:t>
      </w:r>
    </w:p>
    <w:p w14:paraId="55302670" w14:textId="77777777" w:rsidR="00626012" w:rsidRPr="00A15B9B" w:rsidRDefault="00626012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FDA0433" w14:textId="07EF7D9B" w:rsidR="00A15B9B" w:rsidRPr="00A15B9B" w:rsidRDefault="00A15B9B" w:rsidP="00A15B9B">
      <w:pPr>
        <w:rPr>
          <w:rFonts w:ascii="Arial" w:hAnsi="Arial" w:cs="Arial"/>
        </w:rPr>
      </w:pPr>
      <w:r w:rsidRPr="00A15B9B">
        <w:rPr>
          <w:rFonts w:ascii="Arial" w:hAnsi="Arial" w:cs="Arial"/>
        </w:rPr>
        <w:t>Manizales, Marzo 1</w:t>
      </w:r>
      <w:r>
        <w:rPr>
          <w:rFonts w:ascii="Arial" w:hAnsi="Arial" w:cs="Arial"/>
        </w:rPr>
        <w:t>4</w:t>
      </w:r>
      <w:r w:rsidRPr="00A15B9B">
        <w:rPr>
          <w:rFonts w:ascii="Arial" w:hAnsi="Arial" w:cs="Arial"/>
        </w:rPr>
        <w:t xml:space="preserve"> de 20</w:t>
      </w:r>
      <w:bookmarkStart w:id="0" w:name="_GoBack"/>
      <w:bookmarkEnd w:id="0"/>
      <w:r w:rsidRPr="00A15B9B">
        <w:rPr>
          <w:rFonts w:ascii="Arial" w:hAnsi="Arial" w:cs="Arial"/>
        </w:rPr>
        <w:t>17</w:t>
      </w:r>
      <w:r>
        <w:rPr>
          <w:rFonts w:ascii="Arial" w:hAnsi="Arial" w:cs="Arial"/>
        </w:rPr>
        <w:t xml:space="preserve">                                                                  </w:t>
      </w:r>
      <w:r w:rsidR="00EF2545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E-2017-208</w:t>
      </w:r>
    </w:p>
    <w:p w14:paraId="278162C2" w14:textId="77777777" w:rsidR="00A15B9B" w:rsidRDefault="00A15B9B" w:rsidP="00A15B9B">
      <w:pPr>
        <w:rPr>
          <w:rFonts w:ascii="Arial" w:hAnsi="Arial" w:cs="Arial"/>
          <w:sz w:val="24"/>
        </w:rPr>
      </w:pPr>
    </w:p>
    <w:p w14:paraId="29B67396" w14:textId="77777777" w:rsidR="00A15B9B" w:rsidRP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  <w:r w:rsidRPr="00A15B9B">
        <w:rPr>
          <w:rFonts w:ascii="Arial" w:hAnsi="Arial" w:cs="Arial"/>
          <w:bCs/>
        </w:rPr>
        <w:t>Doctor</w:t>
      </w:r>
    </w:p>
    <w:p w14:paraId="577D036E" w14:textId="373E8AAE" w:rsidR="00A15B9B" w:rsidRPr="00EF2545" w:rsidRDefault="00EF2545" w:rsidP="00A15B9B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EF2545">
        <w:rPr>
          <w:rFonts w:ascii="Arial" w:hAnsi="Arial" w:cs="Arial"/>
          <w:b/>
          <w:bCs/>
        </w:rPr>
        <w:t>JAVIER AUGUSTO MEDINA PARRA</w:t>
      </w:r>
    </w:p>
    <w:p w14:paraId="71F966CE" w14:textId="77777777" w:rsidR="00A15B9B" w:rsidRP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  <w:r w:rsidRPr="00A15B9B">
        <w:rPr>
          <w:rFonts w:ascii="Arial" w:hAnsi="Arial" w:cs="Arial"/>
          <w:bCs/>
        </w:rPr>
        <w:t>Coordinador de Proyectos Regionales</w:t>
      </w:r>
    </w:p>
    <w:p w14:paraId="07E9D07F" w14:textId="77777777" w:rsidR="00A15B9B" w:rsidRP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  <w:r w:rsidRPr="00A15B9B">
        <w:rPr>
          <w:rFonts w:ascii="Arial" w:hAnsi="Arial" w:cs="Arial"/>
          <w:bCs/>
        </w:rPr>
        <w:t>Dirección de Promoción TIC</w:t>
      </w:r>
    </w:p>
    <w:p w14:paraId="2FF03BBB" w14:textId="77777777" w:rsidR="00A15B9B" w:rsidRP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</w:p>
    <w:p w14:paraId="2E303320" w14:textId="77777777" w:rsidR="00A15B9B" w:rsidRP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</w:p>
    <w:p w14:paraId="0A262354" w14:textId="77777777" w:rsidR="00A15B9B" w:rsidRP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  <w:r w:rsidRPr="00EF2545">
        <w:rPr>
          <w:rFonts w:ascii="Arial" w:hAnsi="Arial" w:cs="Arial"/>
          <w:b/>
          <w:bCs/>
        </w:rPr>
        <w:t xml:space="preserve">Referencia: </w:t>
      </w:r>
      <w:r w:rsidRPr="00A15B9B">
        <w:rPr>
          <w:rFonts w:ascii="Arial" w:hAnsi="Arial" w:cs="Arial"/>
          <w:bCs/>
        </w:rPr>
        <w:t>Administración de recursos fideicomisitos.</w:t>
      </w:r>
    </w:p>
    <w:p w14:paraId="7425F2AD" w14:textId="77777777" w:rsidR="00A15B9B" w:rsidRP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</w:p>
    <w:p w14:paraId="6EDBDAA5" w14:textId="77777777" w:rsidR="00A15B9B" w:rsidRP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</w:p>
    <w:p w14:paraId="035FD944" w14:textId="77777777" w:rsidR="00A15B9B" w:rsidRP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  <w:r w:rsidRPr="00A15B9B">
        <w:rPr>
          <w:rFonts w:ascii="Arial" w:hAnsi="Arial" w:cs="Arial"/>
          <w:bCs/>
        </w:rPr>
        <w:t>Cordial saludo,</w:t>
      </w:r>
    </w:p>
    <w:p w14:paraId="0F1EB9C8" w14:textId="77777777" w:rsidR="00A15B9B" w:rsidRP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</w:p>
    <w:p w14:paraId="28C9EA5A" w14:textId="77777777" w:rsidR="00A15B9B" w:rsidRP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  <w:r w:rsidRPr="00A15B9B">
        <w:rPr>
          <w:rFonts w:ascii="Arial" w:hAnsi="Arial" w:cs="Arial"/>
          <w:bCs/>
        </w:rPr>
        <w:t>Frente a su interrogante acerca de si “¿hay algún problema en que los recursos del Fondo TIC solamente se mantengan en cuentas de ahorro y/o corrientes y si está de acuerdo a lo expresado por la ley?” (sic.), de la manera más atenta me permito responder en los siguientes términos.</w:t>
      </w:r>
    </w:p>
    <w:p w14:paraId="6530371D" w14:textId="77777777" w:rsidR="00A15B9B" w:rsidRP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</w:p>
    <w:p w14:paraId="05BF4B20" w14:textId="77777777" w:rsid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  <w:r w:rsidRPr="00A15B9B">
        <w:rPr>
          <w:rFonts w:ascii="Arial" w:hAnsi="Arial" w:cs="Arial"/>
          <w:bCs/>
        </w:rPr>
        <w:t>El artículo 2.3.3.5.1 del Decreto 1068 de 2015 “Por medio del cual se expide el Decreto Único Reglamentario del Sector Hacienda y Crédito Público”, señala que en desarrollo de lo dispuesto en el artículo 17 de la Ley 819 de 2003, las entidades territoriales y sus descentralizadas con participación pública superior al cincuenta por ciento, deberán invertir sus excedentes de liquidez, así:</w:t>
      </w:r>
    </w:p>
    <w:p w14:paraId="755B108C" w14:textId="77777777" w:rsidR="00EF2545" w:rsidRPr="00A15B9B" w:rsidRDefault="00EF2545" w:rsidP="00A15B9B">
      <w:pPr>
        <w:spacing w:after="0" w:line="276" w:lineRule="auto"/>
        <w:jc w:val="both"/>
        <w:rPr>
          <w:rFonts w:ascii="Arial" w:hAnsi="Arial" w:cs="Arial"/>
          <w:bCs/>
        </w:rPr>
      </w:pPr>
    </w:p>
    <w:p w14:paraId="16B1BA35" w14:textId="77777777" w:rsidR="00A15B9B" w:rsidRPr="00EF2545" w:rsidRDefault="00A15B9B" w:rsidP="00EF2545">
      <w:pPr>
        <w:spacing w:after="0" w:line="276" w:lineRule="auto"/>
        <w:ind w:left="708"/>
        <w:jc w:val="both"/>
        <w:rPr>
          <w:rFonts w:ascii="Arial" w:hAnsi="Arial" w:cs="Arial"/>
          <w:bCs/>
          <w:i/>
        </w:rPr>
      </w:pPr>
      <w:r w:rsidRPr="00A15B9B">
        <w:rPr>
          <w:rFonts w:ascii="Arial" w:hAnsi="Arial" w:cs="Arial"/>
          <w:bCs/>
        </w:rPr>
        <w:t xml:space="preserve">“i. </w:t>
      </w:r>
      <w:r w:rsidRPr="00EF2545">
        <w:rPr>
          <w:rFonts w:ascii="Arial" w:hAnsi="Arial" w:cs="Arial"/>
          <w:bCs/>
          <w:i/>
        </w:rPr>
        <w:t>En Títulos de Tesorería (TES) Clase “B” tasa fija o indexados a la UVR, del mercado primario directamente ante la Dirección General de Crédito Público y Tesoro Nacional o en el mercado secundario en condiciones de mercado, y,</w:t>
      </w:r>
    </w:p>
    <w:p w14:paraId="3B4143D8" w14:textId="77777777" w:rsidR="00A15B9B" w:rsidRPr="00EF2545" w:rsidRDefault="00A15B9B" w:rsidP="00EF2545">
      <w:pPr>
        <w:spacing w:after="0" w:line="276" w:lineRule="auto"/>
        <w:ind w:left="708"/>
        <w:jc w:val="both"/>
        <w:rPr>
          <w:rFonts w:ascii="Arial" w:hAnsi="Arial" w:cs="Arial"/>
          <w:bCs/>
          <w:i/>
        </w:rPr>
      </w:pPr>
      <w:r w:rsidRPr="00EF2545">
        <w:rPr>
          <w:rFonts w:ascii="Arial" w:hAnsi="Arial" w:cs="Arial"/>
          <w:bCs/>
          <w:i/>
        </w:rPr>
        <w:t>ii. En certificados de depósitos a término, depósitos en cuenta corriente, de ahorros o a término en condiciones de mercado en establecimientos bancarios vigilados por la Superintendencia Financiera de Colombia o en entidades con regímenes especiales contemplados en la parte décima del Estatuto Orgánico del Sistema Financiero.</w:t>
      </w:r>
    </w:p>
    <w:p w14:paraId="51D47EF9" w14:textId="77777777" w:rsidR="00A15B9B" w:rsidRPr="00EF2545" w:rsidRDefault="00A15B9B" w:rsidP="00EF2545">
      <w:pPr>
        <w:spacing w:after="0" w:line="276" w:lineRule="auto"/>
        <w:ind w:left="708" w:firstLine="710"/>
        <w:jc w:val="both"/>
        <w:rPr>
          <w:rFonts w:ascii="Arial" w:hAnsi="Arial" w:cs="Arial"/>
          <w:bCs/>
          <w:i/>
        </w:rPr>
      </w:pPr>
      <w:r w:rsidRPr="00EF2545">
        <w:rPr>
          <w:rFonts w:ascii="Arial" w:hAnsi="Arial" w:cs="Arial"/>
          <w:bCs/>
          <w:i/>
        </w:rPr>
        <w:lastRenderedPageBreak/>
        <w:t>Parágrafo 1. Para efectos de las inversiones a que hace referencia el numeral ii) en lo concerniente a los establecimientos bancarios, dichos establecimientos deberán contar con la siguiente calificación de riesgo, según el plazo de la inversión, así:</w:t>
      </w:r>
    </w:p>
    <w:p w14:paraId="6017F790" w14:textId="77777777" w:rsidR="00A15B9B" w:rsidRPr="00EF2545" w:rsidRDefault="00A15B9B" w:rsidP="00EF2545">
      <w:pPr>
        <w:tabs>
          <w:tab w:val="left" w:pos="1560"/>
        </w:tabs>
        <w:spacing w:after="0" w:line="276" w:lineRule="auto"/>
        <w:ind w:left="709" w:firstLine="709"/>
        <w:jc w:val="both"/>
        <w:rPr>
          <w:rFonts w:ascii="Arial" w:hAnsi="Arial" w:cs="Arial"/>
          <w:bCs/>
          <w:i/>
        </w:rPr>
      </w:pPr>
      <w:r w:rsidRPr="00EF2545">
        <w:rPr>
          <w:rFonts w:ascii="Arial" w:hAnsi="Arial" w:cs="Arial"/>
          <w:bCs/>
          <w:i/>
        </w:rPr>
        <w:t>a) Para inversiones con plazo igual o inferior a un (1) año, el establecimiento bancario deberá contar con una calificación vigente correspondiente a la máxima categoría para el corto plazo, de acuerdo con las escalas usadas por las sociedades calificadoras que la otorgan y contar como mínimo con la segunda mejor calificación vigente para el largo plazo utilizada por las respectivas sociedades;</w:t>
      </w:r>
    </w:p>
    <w:p w14:paraId="128138BD" w14:textId="77777777" w:rsidR="00A15B9B" w:rsidRPr="00EF2545" w:rsidRDefault="00A15B9B" w:rsidP="00EF2545">
      <w:pPr>
        <w:spacing w:after="0" w:line="276" w:lineRule="auto"/>
        <w:ind w:left="708" w:firstLine="710"/>
        <w:jc w:val="both"/>
        <w:rPr>
          <w:rFonts w:ascii="Arial" w:hAnsi="Arial" w:cs="Arial"/>
          <w:bCs/>
          <w:i/>
        </w:rPr>
      </w:pPr>
      <w:r w:rsidRPr="00EF2545">
        <w:rPr>
          <w:rFonts w:ascii="Arial" w:hAnsi="Arial" w:cs="Arial"/>
          <w:bCs/>
          <w:i/>
        </w:rPr>
        <w:t>b) Para inversiones con plazo superior a un (1) año, el establecimiento bancario deberá contar con la segunda mejor calificación vigente para el largo plazo, según la escala utilizada por las sociedades calificadoras y la máxima calificación para el corto plazo de acuerdo con la escala utilizada para este plazo.</w:t>
      </w:r>
    </w:p>
    <w:p w14:paraId="026A73F2" w14:textId="77777777" w:rsidR="00A15B9B" w:rsidRPr="00EF2545" w:rsidRDefault="00A15B9B" w:rsidP="00EF2545">
      <w:pPr>
        <w:spacing w:after="0" w:line="276" w:lineRule="auto"/>
        <w:ind w:left="708" w:firstLine="710"/>
        <w:jc w:val="both"/>
        <w:rPr>
          <w:rFonts w:ascii="Arial" w:hAnsi="Arial" w:cs="Arial"/>
          <w:bCs/>
          <w:i/>
        </w:rPr>
      </w:pPr>
      <w:r w:rsidRPr="00EF2545">
        <w:rPr>
          <w:rFonts w:ascii="Arial" w:hAnsi="Arial" w:cs="Arial"/>
          <w:bCs/>
          <w:i/>
        </w:rPr>
        <w:t>Parágrafo 2. Respecto a los actos y contratos que impliquen de cualquier manera el depósito, la disposición, adquisición, manejo, custodia, administración de dinero, de títulos y en general de valores celebrados por las entidades territoriales y sus descentralizadas, se aplicarán como mínimo los parámetros establecidos en el artículo 2.3.3.3.3 del presente título; en todo caso el régimen de inversión previsto para las entidades territoriales y sus entidades descentralizadas será el previsto en el presente Capítulo.</w:t>
      </w:r>
    </w:p>
    <w:p w14:paraId="48EEB0C1" w14:textId="77777777" w:rsidR="00A15B9B" w:rsidRPr="00EF2545" w:rsidRDefault="00A15B9B" w:rsidP="00EF2545">
      <w:pPr>
        <w:spacing w:after="0" w:line="276" w:lineRule="auto"/>
        <w:ind w:left="708" w:firstLine="710"/>
        <w:jc w:val="both"/>
        <w:rPr>
          <w:rFonts w:ascii="Arial" w:hAnsi="Arial" w:cs="Arial"/>
          <w:bCs/>
          <w:i/>
        </w:rPr>
      </w:pPr>
      <w:r w:rsidRPr="00EF2545">
        <w:rPr>
          <w:rFonts w:ascii="Arial" w:hAnsi="Arial" w:cs="Arial"/>
          <w:bCs/>
          <w:i/>
        </w:rPr>
        <w:t>Parágrafo 3. Las sociedades fiduciarias que administren o manejen recursos públicos vinculados a contratos estatales y/o excedentes de liquidez de las entidades territoriales y sus descentralizadas a través de fiducia pública deben sujetarse a lo previsto en el inciso único y los parágrafos 1 y 2 del presente artículo. Cuando dichas sociedades administren excedentes de liquidez de las entidades territoriales y sus descentralizadas, deberán además contar con la segunda mejor calificación vigente en fortaleza o calidad en la administración de portafolio según la escala de la sociedad calificadora que la otorga y que la misma esté vigente.</w:t>
      </w:r>
    </w:p>
    <w:p w14:paraId="07FFAB8B" w14:textId="77777777" w:rsidR="00A15B9B" w:rsidRPr="00EF2545" w:rsidRDefault="00A15B9B" w:rsidP="00EF2545">
      <w:pPr>
        <w:spacing w:after="0" w:line="276" w:lineRule="auto"/>
        <w:ind w:left="708"/>
        <w:jc w:val="both"/>
        <w:rPr>
          <w:rFonts w:ascii="Arial" w:hAnsi="Arial" w:cs="Arial"/>
          <w:bCs/>
          <w:i/>
        </w:rPr>
      </w:pPr>
      <w:r w:rsidRPr="00EF2545">
        <w:rPr>
          <w:rFonts w:ascii="Arial" w:hAnsi="Arial" w:cs="Arial"/>
          <w:bCs/>
          <w:i/>
        </w:rPr>
        <w:t>Igualmente, las entidades territoriales y sus descentralizadas, podrán invertir los recursos a que se refiere el presente parágrafo, en carteras colectivas del mercado monetario o abiertas sin pacto de permanencia, en ambos casos siempre y cuando la sociedad fiduciaria administradora de las mismas, cuente con la calificación prevista en el presente parágrafo y cumpla, como administrador de la cartera colectiva con el régimen de inversión previsto en el inciso único y el parágrafo 1 del presente artículo” (negrillas fuera del texto).</w:t>
      </w:r>
    </w:p>
    <w:p w14:paraId="7664AC4A" w14:textId="77777777" w:rsidR="00A15B9B" w:rsidRP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</w:p>
    <w:p w14:paraId="78A8E3C3" w14:textId="77777777" w:rsidR="00EF2545" w:rsidRDefault="00EF2545" w:rsidP="00A15B9B">
      <w:pPr>
        <w:spacing w:after="0" w:line="276" w:lineRule="auto"/>
        <w:jc w:val="both"/>
        <w:rPr>
          <w:rFonts w:ascii="Arial" w:hAnsi="Arial" w:cs="Arial"/>
          <w:bCs/>
        </w:rPr>
      </w:pPr>
    </w:p>
    <w:p w14:paraId="0F3286F3" w14:textId="13F77A7A" w:rsidR="00A15B9B" w:rsidRP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  <w:r w:rsidRPr="00A15B9B">
        <w:rPr>
          <w:rFonts w:ascii="Arial" w:hAnsi="Arial" w:cs="Arial"/>
          <w:bCs/>
        </w:rPr>
        <w:t xml:space="preserve">Del apartado normativo en cita se tiene entonces que las sociedades fiduciarias que administren o manejen recursos públicos vinculados a contratos estatales a través de fiducias públicas (siendo este nuestro </w:t>
      </w:r>
      <w:r w:rsidR="00EF2545">
        <w:rPr>
          <w:rFonts w:ascii="Arial" w:hAnsi="Arial" w:cs="Arial"/>
          <w:bCs/>
        </w:rPr>
        <w:t xml:space="preserve">caso </w:t>
      </w:r>
      <w:r w:rsidRPr="00A15B9B">
        <w:rPr>
          <w:rFonts w:ascii="Arial" w:hAnsi="Arial" w:cs="Arial"/>
          <w:bCs/>
        </w:rPr>
        <w:t xml:space="preserve">por la naturaleza de los recursos dados en administración) deben hacerlo, entre otros, mediante depósitos en cuenta corriente o cuentas de ahorros en condiciones de mercado en establecimientos vigilados por la Superintendencia Financiera. Así las cosas, </w:t>
      </w:r>
      <w:r w:rsidR="00EF2545">
        <w:rPr>
          <w:rFonts w:ascii="Arial" w:hAnsi="Arial" w:cs="Arial"/>
          <w:bCs/>
        </w:rPr>
        <w:t>resulta vá</w:t>
      </w:r>
      <w:r w:rsidRPr="00A15B9B">
        <w:rPr>
          <w:rFonts w:ascii="Arial" w:hAnsi="Arial" w:cs="Arial"/>
          <w:bCs/>
        </w:rPr>
        <w:t>lido que los recursos del Fondo TIC se mantengan en este tipo de cuentas, precisando que estas representan por si mismas prenda de garantía y disponibilidad del recurso para la ejecución de los contratos estatales para los que fueron destinados.</w:t>
      </w:r>
    </w:p>
    <w:p w14:paraId="206FD9B1" w14:textId="77777777" w:rsid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</w:p>
    <w:p w14:paraId="0236B5F7" w14:textId="77777777" w:rsidR="00EF2545" w:rsidRPr="00A15B9B" w:rsidRDefault="00EF2545" w:rsidP="00A15B9B">
      <w:pPr>
        <w:spacing w:after="0" w:line="276" w:lineRule="auto"/>
        <w:jc w:val="both"/>
        <w:rPr>
          <w:rFonts w:ascii="Arial" w:hAnsi="Arial" w:cs="Arial"/>
          <w:bCs/>
        </w:rPr>
      </w:pPr>
    </w:p>
    <w:p w14:paraId="7DFF24BA" w14:textId="77777777" w:rsidR="00A15B9B" w:rsidRPr="00A15B9B" w:rsidRDefault="00A15B9B" w:rsidP="00A15B9B">
      <w:pPr>
        <w:spacing w:after="0" w:line="276" w:lineRule="auto"/>
        <w:jc w:val="both"/>
        <w:rPr>
          <w:rFonts w:ascii="Arial" w:hAnsi="Arial" w:cs="Arial"/>
          <w:bCs/>
        </w:rPr>
      </w:pPr>
      <w:r w:rsidRPr="00A15B9B">
        <w:rPr>
          <w:rFonts w:ascii="Arial" w:hAnsi="Arial" w:cs="Arial"/>
          <w:bCs/>
        </w:rPr>
        <w:t>Atentamente,</w:t>
      </w:r>
    </w:p>
    <w:p w14:paraId="4030F413" w14:textId="77777777" w:rsidR="00A15B9B" w:rsidRDefault="00A15B9B" w:rsidP="00A15B9B">
      <w:pPr>
        <w:jc w:val="both"/>
        <w:rPr>
          <w:rFonts w:ascii="Arial" w:hAnsi="Arial" w:cs="Arial"/>
          <w:sz w:val="24"/>
        </w:rPr>
      </w:pPr>
    </w:p>
    <w:p w14:paraId="3D4FCCD2" w14:textId="20C714EF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7693C257" w14:textId="77777777" w:rsidR="00EF2545" w:rsidRDefault="00EF2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107AD2A5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39715939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4C78BDBE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554545">
        <w:rPr>
          <w:rFonts w:ascii="Arial" w:hAnsi="Arial" w:cs="Arial"/>
          <w:b/>
          <w:bCs/>
        </w:rPr>
        <w:t>JUAN CARLOS JIMÉNEZ SANZ</w:t>
      </w:r>
    </w:p>
    <w:p w14:paraId="4F13FA4A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 xml:space="preserve">Director </w:t>
      </w:r>
    </w:p>
    <w:p w14:paraId="4C75C1AC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 xml:space="preserve">Interventoría Integral Promoción Urbana de las TIC a través de zonas </w:t>
      </w:r>
      <w:proofErr w:type="spellStart"/>
      <w:r w:rsidRPr="00554545">
        <w:rPr>
          <w:rFonts w:ascii="Arial" w:hAnsi="Arial" w:cs="Arial"/>
          <w:bCs/>
        </w:rPr>
        <w:t>wi</w:t>
      </w:r>
      <w:proofErr w:type="spellEnd"/>
      <w:r w:rsidRPr="00554545">
        <w:rPr>
          <w:rFonts w:ascii="Arial" w:hAnsi="Arial" w:cs="Arial"/>
          <w:bCs/>
        </w:rPr>
        <w:t xml:space="preserve">-fi </w:t>
      </w:r>
    </w:p>
    <w:p w14:paraId="5C93C6B0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>Universidad de Caldas</w:t>
      </w:r>
    </w:p>
    <w:p w14:paraId="2C3A3AA9" w14:textId="52EFB1CC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1D9374C0" w14:textId="77777777" w:rsidR="00EF2545" w:rsidRDefault="00EF2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18224A94" w14:textId="77777777" w:rsidR="00EF2545" w:rsidRDefault="00EF2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5084BF3E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7E876D95" w14:textId="21C44CB2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  <w:sz w:val="18"/>
          <w:szCs w:val="18"/>
        </w:rPr>
      </w:pPr>
      <w:r w:rsidRPr="00554545">
        <w:rPr>
          <w:rFonts w:ascii="Arial" w:hAnsi="Arial" w:cs="Arial"/>
          <w:bCs/>
          <w:sz w:val="18"/>
          <w:szCs w:val="18"/>
        </w:rPr>
        <w:t xml:space="preserve">Proyectó, Reviso y Aprobó: Katty </w:t>
      </w:r>
      <w:proofErr w:type="spellStart"/>
      <w:r w:rsidRPr="00554545">
        <w:rPr>
          <w:rFonts w:ascii="Arial" w:hAnsi="Arial" w:cs="Arial"/>
          <w:bCs/>
          <w:sz w:val="18"/>
          <w:szCs w:val="18"/>
        </w:rPr>
        <w:t>Jhoana</w:t>
      </w:r>
      <w:proofErr w:type="spellEnd"/>
      <w:r w:rsidRPr="00554545">
        <w:rPr>
          <w:rFonts w:ascii="Arial" w:hAnsi="Arial" w:cs="Arial"/>
          <w:bCs/>
          <w:sz w:val="18"/>
          <w:szCs w:val="18"/>
        </w:rPr>
        <w:t xml:space="preserve"> Rodríguez Lozano – Dirección Jurídica ____</w:t>
      </w:r>
    </w:p>
    <w:p w14:paraId="01AA8AC0" w14:textId="5BE1B238" w:rsidR="00664BCD" w:rsidRPr="00EF2545" w:rsidRDefault="00EF2545" w:rsidP="002E3AB5">
      <w:pPr>
        <w:spacing w:after="0" w:line="276" w:lineRule="auto"/>
        <w:jc w:val="both"/>
        <w:rPr>
          <w:rFonts w:ascii="Arial" w:hAnsi="Arial"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 w:rsidRPr="00EF2545">
        <w:rPr>
          <w:rFonts w:ascii="Arial" w:hAnsi="Arial" w:cs="Arial"/>
          <w:sz w:val="20"/>
        </w:rPr>
        <w:t>Magda Rojas – Directora Financiera y Administrativa</w:t>
      </w:r>
      <w:r>
        <w:rPr>
          <w:rFonts w:ascii="Arial" w:hAnsi="Arial" w:cs="Arial"/>
        </w:rPr>
        <w:t xml:space="preserve"> ___</w:t>
      </w:r>
    </w:p>
    <w:sectPr w:rsidR="00664BCD" w:rsidRPr="00EF2545" w:rsidSect="00554545">
      <w:headerReference w:type="default" r:id="rId8"/>
      <w:footerReference w:type="default" r:id="rId9"/>
      <w:pgSz w:w="12240" w:h="15840" w:code="1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BF4473" w14:textId="77777777" w:rsidR="009C7325" w:rsidRDefault="009C7325" w:rsidP="00BC6C77">
      <w:pPr>
        <w:spacing w:after="0" w:line="240" w:lineRule="auto"/>
      </w:pPr>
      <w:r>
        <w:separator/>
      </w:r>
    </w:p>
  </w:endnote>
  <w:endnote w:type="continuationSeparator" w:id="0">
    <w:p w14:paraId="5A50EFE5" w14:textId="77777777" w:rsidR="009C7325" w:rsidRDefault="009C7325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-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3A4D8" w14:textId="1B18B410" w:rsidR="00554545" w:rsidRDefault="00554545" w:rsidP="00554545">
    <w:pPr>
      <w:tabs>
        <w:tab w:val="left" w:pos="1658"/>
      </w:tabs>
    </w:pPr>
    <w:r w:rsidRPr="00466510">
      <w:rPr>
        <w:noProof/>
        <w:lang w:eastAsia="es-CO"/>
      </w:rPr>
      <w:drawing>
        <wp:inline distT="0" distB="0" distL="0" distR="0" wp14:anchorId="743C0B21" wp14:editId="3B1E791A">
          <wp:extent cx="2360295" cy="999490"/>
          <wp:effectExtent l="0" t="0" r="1905" b="0"/>
          <wp:docPr id="44" name="Imagen 44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pie de pa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295" cy="999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</w:t>
    </w:r>
    <w:r w:rsidRPr="00466510">
      <w:rPr>
        <w:noProof/>
        <w:lang w:eastAsia="es-CO"/>
      </w:rPr>
      <w:drawing>
        <wp:inline distT="0" distB="0" distL="0" distR="0" wp14:anchorId="3E83D65E" wp14:editId="4A8F823B">
          <wp:extent cx="2062480" cy="935355"/>
          <wp:effectExtent l="0" t="0" r="0" b="0"/>
          <wp:docPr id="45" name="Imagen 45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228517" w14:textId="77777777" w:rsidR="00554545" w:rsidRDefault="005545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77F53" w14:textId="77777777" w:rsidR="009C7325" w:rsidRDefault="009C7325" w:rsidP="00BC6C77">
      <w:pPr>
        <w:spacing w:after="0" w:line="240" w:lineRule="auto"/>
      </w:pPr>
      <w:r>
        <w:separator/>
      </w:r>
    </w:p>
  </w:footnote>
  <w:footnote w:type="continuationSeparator" w:id="0">
    <w:p w14:paraId="0A0B231F" w14:textId="77777777" w:rsidR="009C7325" w:rsidRDefault="009C7325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CAB68" w14:textId="77777777"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3F3EDE7" wp14:editId="2FFA944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41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3B174E12" wp14:editId="081AE00F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42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A1258EC" wp14:editId="7CEA156C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3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05A89166" w14:textId="77777777" w:rsidR="00BC6C77" w:rsidRDefault="00BC6C77">
    <w:pPr>
      <w:pStyle w:val="Encabezado"/>
    </w:pPr>
  </w:p>
  <w:p w14:paraId="2EDE96A6" w14:textId="77777777" w:rsidR="00BC6C77" w:rsidRDefault="00BC6C77">
    <w:pPr>
      <w:pStyle w:val="Encabezado"/>
    </w:pPr>
  </w:p>
  <w:p w14:paraId="2C4638AB" w14:textId="77777777" w:rsidR="00BC6C77" w:rsidRDefault="00BC6C77">
    <w:pPr>
      <w:pStyle w:val="Encabezado"/>
    </w:pPr>
  </w:p>
  <w:p w14:paraId="1CF8D436" w14:textId="77777777" w:rsidR="00BC6C77" w:rsidRDefault="00BC6C77">
    <w:pPr>
      <w:pStyle w:val="Encabezado"/>
    </w:pPr>
  </w:p>
  <w:p w14:paraId="10F1D82A" w14:textId="77777777" w:rsidR="00BC6C77" w:rsidRPr="007E4BF7" w:rsidRDefault="00BC6C77">
    <w:pPr>
      <w:pStyle w:val="Encabezado"/>
      <w:rPr>
        <w:sz w:val="14"/>
      </w:rPr>
    </w:pPr>
  </w:p>
  <w:p w14:paraId="28FE6DBE" w14:textId="77777777"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43C4EB7D" w14:textId="77777777"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0616A"/>
    <w:multiLevelType w:val="hybridMultilevel"/>
    <w:tmpl w:val="F6907C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A1EC4"/>
    <w:rsid w:val="000B03AC"/>
    <w:rsid w:val="000D4077"/>
    <w:rsid w:val="000D56B6"/>
    <w:rsid w:val="000E5B0C"/>
    <w:rsid w:val="000F5810"/>
    <w:rsid w:val="00123E19"/>
    <w:rsid w:val="00173B4A"/>
    <w:rsid w:val="00186A0B"/>
    <w:rsid w:val="001914D6"/>
    <w:rsid w:val="00192B1D"/>
    <w:rsid w:val="001A51AD"/>
    <w:rsid w:val="00215A43"/>
    <w:rsid w:val="00252A4A"/>
    <w:rsid w:val="002944B0"/>
    <w:rsid w:val="002C67E4"/>
    <w:rsid w:val="002E3AB5"/>
    <w:rsid w:val="00317C02"/>
    <w:rsid w:val="003322C4"/>
    <w:rsid w:val="00332F73"/>
    <w:rsid w:val="003514EA"/>
    <w:rsid w:val="003549DD"/>
    <w:rsid w:val="003723E6"/>
    <w:rsid w:val="00375623"/>
    <w:rsid w:val="00376738"/>
    <w:rsid w:val="00383F21"/>
    <w:rsid w:val="00387655"/>
    <w:rsid w:val="003A42E1"/>
    <w:rsid w:val="003C12EF"/>
    <w:rsid w:val="003E214C"/>
    <w:rsid w:val="004126D9"/>
    <w:rsid w:val="004E4BBE"/>
    <w:rsid w:val="004E5995"/>
    <w:rsid w:val="004E7E6F"/>
    <w:rsid w:val="00516287"/>
    <w:rsid w:val="00534FD4"/>
    <w:rsid w:val="00537337"/>
    <w:rsid w:val="00554545"/>
    <w:rsid w:val="00572FD2"/>
    <w:rsid w:val="005B2E40"/>
    <w:rsid w:val="005B7CBF"/>
    <w:rsid w:val="005E3449"/>
    <w:rsid w:val="0061262F"/>
    <w:rsid w:val="00626012"/>
    <w:rsid w:val="0062793A"/>
    <w:rsid w:val="00632F25"/>
    <w:rsid w:val="006403B1"/>
    <w:rsid w:val="00664BCD"/>
    <w:rsid w:val="006844C4"/>
    <w:rsid w:val="00695BFF"/>
    <w:rsid w:val="006A2546"/>
    <w:rsid w:val="006B43D5"/>
    <w:rsid w:val="006D0266"/>
    <w:rsid w:val="00717EDE"/>
    <w:rsid w:val="00723DFB"/>
    <w:rsid w:val="00745782"/>
    <w:rsid w:val="007A528D"/>
    <w:rsid w:val="007B55C9"/>
    <w:rsid w:val="007C624A"/>
    <w:rsid w:val="007E4BF7"/>
    <w:rsid w:val="00817CDD"/>
    <w:rsid w:val="008245A2"/>
    <w:rsid w:val="00840CF0"/>
    <w:rsid w:val="008467FC"/>
    <w:rsid w:val="008845B7"/>
    <w:rsid w:val="008A65CF"/>
    <w:rsid w:val="008B5143"/>
    <w:rsid w:val="008B5BAE"/>
    <w:rsid w:val="0097136D"/>
    <w:rsid w:val="00981554"/>
    <w:rsid w:val="009C7325"/>
    <w:rsid w:val="009D2D5B"/>
    <w:rsid w:val="00A05182"/>
    <w:rsid w:val="00A10EBC"/>
    <w:rsid w:val="00A15B9B"/>
    <w:rsid w:val="00A230B3"/>
    <w:rsid w:val="00A269CD"/>
    <w:rsid w:val="00A36407"/>
    <w:rsid w:val="00A4543E"/>
    <w:rsid w:val="00A505D0"/>
    <w:rsid w:val="00A93EEC"/>
    <w:rsid w:val="00AA7272"/>
    <w:rsid w:val="00AB1FB4"/>
    <w:rsid w:val="00AC3CE0"/>
    <w:rsid w:val="00AF033B"/>
    <w:rsid w:val="00AF4215"/>
    <w:rsid w:val="00AF6F13"/>
    <w:rsid w:val="00B34377"/>
    <w:rsid w:val="00B460F6"/>
    <w:rsid w:val="00B72CC2"/>
    <w:rsid w:val="00B944A9"/>
    <w:rsid w:val="00BB1DE3"/>
    <w:rsid w:val="00BC64C1"/>
    <w:rsid w:val="00BC6C77"/>
    <w:rsid w:val="00BE760E"/>
    <w:rsid w:val="00C44BAA"/>
    <w:rsid w:val="00C76D6B"/>
    <w:rsid w:val="00CC7A4E"/>
    <w:rsid w:val="00CF3BFD"/>
    <w:rsid w:val="00D03A92"/>
    <w:rsid w:val="00D65F8D"/>
    <w:rsid w:val="00D74681"/>
    <w:rsid w:val="00D75CE6"/>
    <w:rsid w:val="00D8546A"/>
    <w:rsid w:val="00D86CCD"/>
    <w:rsid w:val="00DA64BF"/>
    <w:rsid w:val="00DE4DEC"/>
    <w:rsid w:val="00E14600"/>
    <w:rsid w:val="00E3347F"/>
    <w:rsid w:val="00E33B65"/>
    <w:rsid w:val="00E35AAA"/>
    <w:rsid w:val="00E60841"/>
    <w:rsid w:val="00E72E41"/>
    <w:rsid w:val="00E856C9"/>
    <w:rsid w:val="00EE05A6"/>
    <w:rsid w:val="00EF2545"/>
    <w:rsid w:val="00EF5EC2"/>
    <w:rsid w:val="00F030AE"/>
    <w:rsid w:val="00F13052"/>
    <w:rsid w:val="00F13AD2"/>
    <w:rsid w:val="00F23F0C"/>
    <w:rsid w:val="00FC5A6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821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6</cp:revision>
  <cp:lastPrinted>2017-03-14T22:31:00Z</cp:lastPrinted>
  <dcterms:created xsi:type="dcterms:W3CDTF">2017-03-14T22:23:00Z</dcterms:created>
  <dcterms:modified xsi:type="dcterms:W3CDTF">2017-03-14T22:31:00Z</dcterms:modified>
</cp:coreProperties>
</file>