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2C6" w:rsidRPr="00AA2A8F" w:rsidRDefault="009F394C">
      <w:pPr>
        <w:rPr>
          <w:rFonts w:ascii="Arial" w:hAnsi="Arial" w:cs="Arial"/>
          <w:sz w:val="22"/>
          <w:szCs w:val="22"/>
        </w:rPr>
      </w:pPr>
      <w:r>
        <w:rPr>
          <w:rFonts w:ascii="Arial" w:hAnsi="Arial" w:cs="Arial"/>
          <w:sz w:val="22"/>
          <w:szCs w:val="22"/>
        </w:rPr>
        <w:t>100</w:t>
      </w:r>
    </w:p>
    <w:p w:rsidR="003206E0" w:rsidRDefault="00407B47" w:rsidP="007161A0">
      <w:pPr>
        <w:suppressAutoHyphens/>
        <w:autoSpaceDE w:val="0"/>
        <w:autoSpaceDN w:val="0"/>
        <w:adjustRightInd w:val="0"/>
        <w:jc w:val="both"/>
        <w:textAlignment w:val="baseline"/>
        <w:rPr>
          <w:rFonts w:ascii="Arial" w:hAnsi="Arial" w:cs="Arial"/>
          <w:bCs/>
          <w:sz w:val="22"/>
          <w:szCs w:val="22"/>
          <w:lang w:eastAsia="es-ES"/>
        </w:rPr>
      </w:pPr>
      <w:r w:rsidRPr="00AA2A8F">
        <w:rPr>
          <w:rFonts w:ascii="Arial" w:hAnsi="Arial" w:cs="Arial"/>
          <w:bCs/>
          <w:sz w:val="22"/>
          <w:szCs w:val="22"/>
          <w:lang w:eastAsia="es-ES"/>
        </w:rPr>
        <w:t>Contrato 1195</w:t>
      </w:r>
      <w:r w:rsidR="00AA2A8F" w:rsidRPr="00AA2A8F">
        <w:rPr>
          <w:rFonts w:ascii="Arial" w:hAnsi="Arial" w:cs="Arial"/>
          <w:bCs/>
          <w:sz w:val="22"/>
          <w:szCs w:val="22"/>
          <w:lang w:eastAsia="es-ES"/>
        </w:rPr>
        <w:t xml:space="preserve"> de 2016</w:t>
      </w:r>
      <w:r w:rsidR="00057A3A">
        <w:rPr>
          <w:rFonts w:ascii="Arial" w:hAnsi="Arial" w:cs="Arial"/>
          <w:bCs/>
          <w:sz w:val="22"/>
          <w:szCs w:val="22"/>
          <w:lang w:eastAsia="es-ES"/>
        </w:rPr>
        <w:tab/>
      </w:r>
      <w:r w:rsidR="00057A3A">
        <w:rPr>
          <w:rFonts w:ascii="Arial" w:hAnsi="Arial" w:cs="Arial"/>
          <w:bCs/>
          <w:sz w:val="22"/>
          <w:szCs w:val="22"/>
          <w:lang w:eastAsia="es-ES"/>
        </w:rPr>
        <w:tab/>
      </w:r>
      <w:r w:rsidR="00057A3A">
        <w:rPr>
          <w:rFonts w:ascii="Arial" w:hAnsi="Arial" w:cs="Arial"/>
          <w:bCs/>
          <w:sz w:val="22"/>
          <w:szCs w:val="22"/>
          <w:lang w:eastAsia="es-ES"/>
        </w:rPr>
        <w:tab/>
      </w:r>
    </w:p>
    <w:p w:rsidR="009F394C" w:rsidRDefault="009F394C" w:rsidP="007161A0">
      <w:pPr>
        <w:suppressAutoHyphens/>
        <w:autoSpaceDE w:val="0"/>
        <w:autoSpaceDN w:val="0"/>
        <w:adjustRightInd w:val="0"/>
        <w:jc w:val="both"/>
        <w:textAlignment w:val="baseline"/>
        <w:rPr>
          <w:rFonts w:ascii="Arial" w:hAnsi="Arial" w:cs="Arial"/>
          <w:sz w:val="22"/>
          <w:szCs w:val="22"/>
          <w:lang w:val="es-MX" w:eastAsia="es-ES"/>
        </w:rPr>
      </w:pPr>
    </w:p>
    <w:p w:rsidR="007161A0" w:rsidRPr="007161A0" w:rsidRDefault="00BA5BF8" w:rsidP="007161A0">
      <w:pPr>
        <w:suppressAutoHyphens/>
        <w:autoSpaceDE w:val="0"/>
        <w:autoSpaceDN w:val="0"/>
        <w:adjustRightInd w:val="0"/>
        <w:jc w:val="both"/>
        <w:textAlignment w:val="baseline"/>
        <w:rPr>
          <w:rFonts w:ascii="Arial" w:hAnsi="Arial" w:cs="Arial"/>
          <w:sz w:val="22"/>
          <w:szCs w:val="22"/>
          <w:lang w:val="es-MX" w:eastAsia="es-ES"/>
        </w:rPr>
      </w:pPr>
      <w:r>
        <w:rPr>
          <w:rFonts w:ascii="Arial" w:hAnsi="Arial" w:cs="Arial"/>
          <w:sz w:val="22"/>
          <w:szCs w:val="22"/>
          <w:lang w:val="es-MX" w:eastAsia="es-ES"/>
        </w:rPr>
        <w:t>Manizales</w:t>
      </w:r>
      <w:r w:rsidR="007161A0" w:rsidRPr="007161A0">
        <w:rPr>
          <w:rFonts w:ascii="Arial" w:hAnsi="Arial" w:cs="Arial"/>
          <w:sz w:val="22"/>
          <w:szCs w:val="22"/>
          <w:lang w:val="es-MX" w:eastAsia="es-ES"/>
        </w:rPr>
        <w:t>,</w:t>
      </w:r>
      <w:r w:rsidR="009F394C">
        <w:rPr>
          <w:rFonts w:ascii="Arial" w:hAnsi="Arial" w:cs="Arial"/>
          <w:sz w:val="22"/>
          <w:szCs w:val="22"/>
          <w:lang w:val="es-MX" w:eastAsia="es-ES"/>
        </w:rPr>
        <w:t xml:space="preserve"> marzo 15 del 2017                                                                        E-2017-216</w:t>
      </w:r>
    </w:p>
    <w:p w:rsidR="007161A0" w:rsidRPr="007161A0" w:rsidRDefault="007161A0" w:rsidP="007161A0">
      <w:pPr>
        <w:suppressAutoHyphens/>
        <w:autoSpaceDN w:val="0"/>
        <w:jc w:val="both"/>
        <w:textAlignment w:val="baseline"/>
        <w:rPr>
          <w:rFonts w:ascii="Arial" w:hAnsi="Arial" w:cs="Arial"/>
          <w:sz w:val="22"/>
          <w:szCs w:val="22"/>
          <w:lang w:val="es-MX" w:eastAsia="es-ES"/>
        </w:rPr>
      </w:pPr>
    </w:p>
    <w:p w:rsidR="007161A0" w:rsidRPr="007161A0" w:rsidRDefault="007161A0" w:rsidP="007161A0">
      <w:pPr>
        <w:tabs>
          <w:tab w:val="left" w:pos="1708"/>
        </w:tabs>
        <w:suppressAutoHyphens/>
        <w:autoSpaceDN w:val="0"/>
        <w:ind w:left="1416" w:hanging="1416"/>
        <w:textAlignment w:val="baseline"/>
        <w:rPr>
          <w:rFonts w:ascii="Arial" w:hAnsi="Arial" w:cs="Arial"/>
          <w:sz w:val="22"/>
          <w:szCs w:val="22"/>
          <w:lang w:eastAsia="es-ES"/>
        </w:rPr>
      </w:pPr>
    </w:p>
    <w:p w:rsidR="00BA7B16" w:rsidRPr="00AA2A8F" w:rsidRDefault="00BA7B16" w:rsidP="00BA7B16">
      <w:pPr>
        <w:tabs>
          <w:tab w:val="left" w:pos="5103"/>
        </w:tabs>
        <w:suppressAutoHyphens/>
        <w:autoSpaceDN w:val="0"/>
        <w:textAlignment w:val="baseline"/>
        <w:rPr>
          <w:rFonts w:ascii="Arial" w:hAnsi="Arial" w:cs="Arial"/>
          <w:sz w:val="22"/>
          <w:szCs w:val="22"/>
          <w:lang w:val="es-ES_tradnl" w:eastAsia="es-ES"/>
        </w:rPr>
      </w:pPr>
      <w:r w:rsidRPr="00AA2A8F">
        <w:rPr>
          <w:rFonts w:ascii="Arial" w:hAnsi="Arial" w:cs="Arial"/>
          <w:sz w:val="22"/>
          <w:szCs w:val="22"/>
          <w:lang w:val="es-ES_tradnl" w:eastAsia="es-ES"/>
        </w:rPr>
        <w:t>Doctor</w:t>
      </w:r>
      <w:r>
        <w:rPr>
          <w:rFonts w:ascii="Arial" w:hAnsi="Arial" w:cs="Arial"/>
          <w:sz w:val="22"/>
          <w:szCs w:val="22"/>
          <w:lang w:val="es-ES_tradnl" w:eastAsia="es-ES"/>
        </w:rPr>
        <w:t>a</w:t>
      </w:r>
    </w:p>
    <w:p w:rsidR="00BA7B16" w:rsidRPr="00AA2A8F" w:rsidRDefault="00BA7B16" w:rsidP="00BA7B16">
      <w:pPr>
        <w:tabs>
          <w:tab w:val="left" w:pos="5103"/>
        </w:tabs>
        <w:suppressAutoHyphens/>
        <w:autoSpaceDN w:val="0"/>
        <w:textAlignment w:val="baseline"/>
        <w:rPr>
          <w:rFonts w:ascii="Arial" w:hAnsi="Arial" w:cs="Arial"/>
          <w:sz w:val="22"/>
          <w:szCs w:val="22"/>
          <w:lang w:val="es-ES_tradnl" w:eastAsia="es-ES"/>
        </w:rPr>
      </w:pPr>
      <w:r>
        <w:rPr>
          <w:rFonts w:ascii="Arial" w:hAnsi="Arial" w:cs="Arial"/>
          <w:sz w:val="22"/>
          <w:szCs w:val="22"/>
          <w:lang w:val="es-ES_tradnl" w:eastAsia="es-ES"/>
        </w:rPr>
        <w:t>Johana Cristina Duarte Nariño</w:t>
      </w:r>
    </w:p>
    <w:p w:rsidR="00BA7B16" w:rsidRPr="00AA2A8F" w:rsidRDefault="00BA7B16" w:rsidP="00BA7B16">
      <w:pPr>
        <w:suppressAutoHyphens/>
        <w:autoSpaceDN w:val="0"/>
        <w:jc w:val="both"/>
        <w:textAlignment w:val="baseline"/>
        <w:rPr>
          <w:rFonts w:ascii="Arial" w:hAnsi="Arial" w:cs="Arial"/>
          <w:sz w:val="22"/>
          <w:szCs w:val="22"/>
          <w:lang w:eastAsia="es-ES"/>
        </w:rPr>
      </w:pPr>
      <w:r w:rsidRPr="007161A0">
        <w:rPr>
          <w:rFonts w:ascii="Arial" w:hAnsi="Arial" w:cs="Arial"/>
          <w:sz w:val="22"/>
          <w:szCs w:val="22"/>
          <w:lang w:eastAsia="es-ES"/>
        </w:rPr>
        <w:t>Representante Legal</w:t>
      </w:r>
    </w:p>
    <w:p w:rsidR="00BA7B16" w:rsidRDefault="00BA7B16" w:rsidP="00BA7B16">
      <w:pPr>
        <w:suppressAutoHyphens/>
        <w:autoSpaceDN w:val="0"/>
        <w:jc w:val="both"/>
        <w:textAlignment w:val="baseline"/>
        <w:rPr>
          <w:rFonts w:ascii="Arial" w:hAnsi="Arial" w:cs="Arial"/>
          <w:sz w:val="22"/>
          <w:szCs w:val="22"/>
          <w:lang w:val="es-ES_tradnl" w:eastAsia="es-ES"/>
        </w:rPr>
      </w:pPr>
      <w:r>
        <w:rPr>
          <w:rFonts w:ascii="Arial" w:hAnsi="Arial" w:cs="Arial"/>
          <w:sz w:val="22"/>
          <w:szCs w:val="22"/>
          <w:lang w:val="es-ES_tradnl" w:eastAsia="es-ES"/>
        </w:rPr>
        <w:t>EMPRESA DE TELECOMUNICACIONES DE BUCARAMANGA S.A. E.S.P TELEBUCARAMANGA</w:t>
      </w:r>
    </w:p>
    <w:p w:rsidR="00BA7B16" w:rsidRDefault="00BA7B16" w:rsidP="00BA7B16">
      <w:pPr>
        <w:suppressAutoHyphens/>
        <w:autoSpaceDN w:val="0"/>
        <w:jc w:val="both"/>
        <w:textAlignment w:val="baseline"/>
        <w:rPr>
          <w:rFonts w:ascii="Arial" w:hAnsi="Arial" w:cs="Arial"/>
          <w:sz w:val="22"/>
          <w:szCs w:val="22"/>
          <w:lang w:eastAsia="es-ES"/>
        </w:rPr>
      </w:pPr>
      <w:r>
        <w:rPr>
          <w:rFonts w:ascii="Arial" w:hAnsi="Arial" w:cs="Arial"/>
          <w:sz w:val="22"/>
          <w:szCs w:val="22"/>
          <w:lang w:eastAsia="es-ES"/>
        </w:rPr>
        <w:t>Bucaramanga, Santander</w:t>
      </w:r>
    </w:p>
    <w:p w:rsidR="007161A0" w:rsidRPr="007161A0" w:rsidRDefault="007161A0" w:rsidP="007161A0">
      <w:pPr>
        <w:suppressAutoHyphens/>
        <w:autoSpaceDN w:val="0"/>
        <w:jc w:val="both"/>
        <w:textAlignment w:val="baseline"/>
        <w:rPr>
          <w:rFonts w:ascii="Arial" w:hAnsi="Arial" w:cs="Arial"/>
          <w:sz w:val="22"/>
          <w:szCs w:val="22"/>
          <w:lang w:eastAsia="es-ES"/>
        </w:rPr>
      </w:pPr>
    </w:p>
    <w:p w:rsidR="007161A0" w:rsidRPr="007161A0" w:rsidRDefault="007161A0" w:rsidP="007161A0">
      <w:pPr>
        <w:suppressAutoHyphens/>
        <w:autoSpaceDN w:val="0"/>
        <w:jc w:val="both"/>
        <w:textAlignment w:val="baseline"/>
        <w:rPr>
          <w:rFonts w:ascii="Arial" w:hAnsi="Arial" w:cs="Arial"/>
          <w:b/>
          <w:iCs/>
          <w:sz w:val="22"/>
          <w:szCs w:val="22"/>
          <w:lang w:val="es-ES" w:eastAsia="es-ES"/>
        </w:rPr>
      </w:pPr>
    </w:p>
    <w:p w:rsidR="006C56BA" w:rsidRPr="00AA2A8F" w:rsidRDefault="007161A0" w:rsidP="00767223">
      <w:pPr>
        <w:ind w:left="1410" w:hanging="1410"/>
        <w:jc w:val="both"/>
        <w:rPr>
          <w:rFonts w:ascii="Arial" w:hAnsi="Arial" w:cs="Arial"/>
          <w:iCs/>
          <w:sz w:val="22"/>
          <w:szCs w:val="22"/>
          <w:lang w:val="es-ES" w:eastAsia="es-ES"/>
        </w:rPr>
      </w:pPr>
      <w:r w:rsidRPr="007161A0">
        <w:rPr>
          <w:rFonts w:ascii="Arial" w:hAnsi="Arial" w:cs="Arial"/>
          <w:b/>
          <w:iCs/>
          <w:sz w:val="22"/>
          <w:szCs w:val="22"/>
          <w:lang w:val="es-ES" w:eastAsia="es-ES"/>
        </w:rPr>
        <w:t xml:space="preserve">Asunto: </w:t>
      </w:r>
      <w:r w:rsidR="00EA67B7">
        <w:rPr>
          <w:rFonts w:ascii="Arial" w:hAnsi="Arial" w:cs="Arial"/>
          <w:b/>
          <w:iCs/>
          <w:sz w:val="22"/>
          <w:szCs w:val="22"/>
          <w:lang w:val="es-ES" w:eastAsia="es-ES"/>
        </w:rPr>
        <w:t xml:space="preserve">        Solicitud aclaración Plan de Inversión del Anticipo</w:t>
      </w:r>
    </w:p>
    <w:p w:rsidR="00BA7B16" w:rsidRPr="000A70EF" w:rsidRDefault="00767223" w:rsidP="00BA7B16">
      <w:pPr>
        <w:ind w:left="1410" w:hanging="1410"/>
        <w:jc w:val="both"/>
        <w:rPr>
          <w:rFonts w:ascii="Arial" w:hAnsi="Arial" w:cs="Arial"/>
          <w:iCs/>
          <w:sz w:val="22"/>
          <w:szCs w:val="22"/>
          <w:lang w:val="es-ES_tradnl" w:eastAsia="es-ES"/>
        </w:rPr>
      </w:pPr>
      <w:r w:rsidRPr="00AA2A8F">
        <w:rPr>
          <w:rFonts w:ascii="Arial" w:hAnsi="Arial" w:cs="Arial"/>
          <w:iCs/>
          <w:sz w:val="22"/>
          <w:szCs w:val="22"/>
          <w:lang w:val="es-ES" w:eastAsia="es-ES"/>
        </w:rPr>
        <w:t xml:space="preserve">                     </w:t>
      </w:r>
      <w:r w:rsidR="00EA67B7">
        <w:rPr>
          <w:rFonts w:ascii="Arial" w:hAnsi="Arial" w:cs="Arial"/>
          <w:iCs/>
          <w:sz w:val="22"/>
          <w:szCs w:val="22"/>
          <w:lang w:val="es-ES" w:eastAsia="es-ES"/>
        </w:rPr>
        <w:t xml:space="preserve">  </w:t>
      </w:r>
      <w:r w:rsidR="00BA7B16" w:rsidRPr="000A70EF">
        <w:rPr>
          <w:rFonts w:ascii="Arial" w:hAnsi="Arial" w:cs="Arial"/>
          <w:iCs/>
          <w:sz w:val="22"/>
          <w:szCs w:val="22"/>
          <w:lang w:val="es-ES" w:eastAsia="es-ES"/>
        </w:rPr>
        <w:t xml:space="preserve">CONTRATO </w:t>
      </w:r>
      <w:r w:rsidR="00421B92">
        <w:rPr>
          <w:rFonts w:ascii="Arial" w:hAnsi="Arial" w:cs="Arial"/>
          <w:iCs/>
          <w:sz w:val="22"/>
          <w:szCs w:val="22"/>
          <w:lang w:val="es-ES" w:eastAsia="es-ES"/>
        </w:rPr>
        <w:t xml:space="preserve">No. 1210 </w:t>
      </w:r>
      <w:r w:rsidR="00BA7B16" w:rsidRPr="000A70EF">
        <w:rPr>
          <w:rFonts w:ascii="Arial" w:hAnsi="Arial" w:cs="Arial"/>
          <w:iCs/>
          <w:sz w:val="22"/>
          <w:szCs w:val="22"/>
          <w:lang w:val="es-ES" w:eastAsia="es-ES"/>
        </w:rPr>
        <w:t xml:space="preserve">SUSCRITO ENTRE EL FONDO DE TECNOLOGIAS DE LA INFORMACIÓN Y LAS COMUNICACIONES Y </w:t>
      </w:r>
      <w:r w:rsidR="00BA7B16" w:rsidRPr="000A70EF">
        <w:rPr>
          <w:rFonts w:ascii="Arial" w:hAnsi="Arial" w:cs="Arial"/>
          <w:iCs/>
          <w:sz w:val="22"/>
          <w:szCs w:val="22"/>
          <w:lang w:val="es-ES_tradnl" w:eastAsia="es-ES"/>
        </w:rPr>
        <w:t>EMPRESA DE TELECOMUNICACIONES DE BUCARAMANGA S.A. E.S.P TELEBUCARAMANGA</w:t>
      </w:r>
    </w:p>
    <w:p w:rsidR="008D1060" w:rsidRPr="00BD05E9" w:rsidRDefault="008D1060" w:rsidP="008D1060">
      <w:pPr>
        <w:ind w:left="1410" w:hanging="1410"/>
        <w:jc w:val="both"/>
        <w:rPr>
          <w:rFonts w:ascii="Arial" w:hAnsi="Arial" w:cs="Arial"/>
          <w:iCs/>
          <w:color w:val="FF0000"/>
          <w:sz w:val="22"/>
          <w:szCs w:val="22"/>
          <w:lang w:val="es-ES_tradnl" w:eastAsia="es-ES"/>
        </w:rPr>
      </w:pPr>
    </w:p>
    <w:p w:rsidR="007161A0" w:rsidRPr="007161A0" w:rsidRDefault="006C56BA" w:rsidP="00EA67B7">
      <w:pPr>
        <w:ind w:left="1410" w:hanging="1410"/>
        <w:jc w:val="both"/>
        <w:rPr>
          <w:rFonts w:ascii="Arial" w:hAnsi="Arial" w:cs="Arial"/>
          <w:b/>
          <w:sz w:val="22"/>
          <w:szCs w:val="22"/>
          <w:lang w:eastAsia="es-ES"/>
        </w:rPr>
      </w:pPr>
      <w:r w:rsidRPr="00AA2A8F">
        <w:rPr>
          <w:rFonts w:ascii="Arial" w:hAnsi="Arial" w:cs="Arial"/>
          <w:sz w:val="22"/>
          <w:szCs w:val="22"/>
          <w:lang w:eastAsia="es-ES"/>
        </w:rPr>
        <w:t xml:space="preserve">                                    </w:t>
      </w:r>
    </w:p>
    <w:p w:rsidR="00772647" w:rsidRDefault="00772647" w:rsidP="00772647">
      <w:pPr>
        <w:suppressAutoHyphens/>
        <w:autoSpaceDN w:val="0"/>
        <w:jc w:val="both"/>
        <w:textAlignment w:val="baseline"/>
        <w:rPr>
          <w:rFonts w:ascii="Arial" w:hAnsi="Arial" w:cs="Arial"/>
          <w:sz w:val="22"/>
          <w:szCs w:val="22"/>
          <w:lang w:val="es-ES_tradnl" w:eastAsia="es-ES"/>
        </w:rPr>
      </w:pPr>
      <w:r>
        <w:rPr>
          <w:rFonts w:ascii="Arial" w:hAnsi="Arial" w:cs="Arial"/>
          <w:sz w:val="22"/>
          <w:szCs w:val="22"/>
          <w:lang w:val="es-ES_tradnl" w:eastAsia="es-ES"/>
        </w:rPr>
        <w:t>Respetada doctora:</w:t>
      </w:r>
    </w:p>
    <w:p w:rsidR="00772647" w:rsidRDefault="00772647" w:rsidP="00772647">
      <w:pPr>
        <w:tabs>
          <w:tab w:val="left" w:pos="8100"/>
        </w:tabs>
        <w:suppressAutoHyphens/>
        <w:autoSpaceDN w:val="0"/>
        <w:jc w:val="both"/>
        <w:textAlignment w:val="baseline"/>
        <w:rPr>
          <w:rFonts w:ascii="Arial" w:hAnsi="Arial" w:cs="Arial"/>
          <w:sz w:val="22"/>
          <w:szCs w:val="22"/>
          <w:lang w:eastAsia="es-ES"/>
        </w:rPr>
      </w:pPr>
    </w:p>
    <w:p w:rsidR="00772647" w:rsidRDefault="00772647" w:rsidP="00772647">
      <w:pPr>
        <w:jc w:val="both"/>
        <w:rPr>
          <w:rFonts w:ascii="Arial" w:eastAsia="Batang" w:hAnsi="Arial" w:cs="Arial"/>
          <w:sz w:val="22"/>
          <w:szCs w:val="22"/>
          <w:lang w:eastAsia="es-MX"/>
        </w:rPr>
      </w:pPr>
      <w:r>
        <w:rPr>
          <w:rFonts w:ascii="Arial" w:eastAsia="Batang" w:hAnsi="Arial" w:cs="Arial"/>
          <w:sz w:val="22"/>
          <w:szCs w:val="22"/>
          <w:lang w:eastAsia="es-MX"/>
        </w:rPr>
        <w:t xml:space="preserve">De acuerdo con la revisión del presupuesto del contrato 1210, se detectaron diferencias entre los valores de los ítems que conforman la fase CAPEX registrados en el Plan de Inversión del Anticipo, comparados con lo registrado en la oferta comercial que fue aprobada por el Ministerio para efectos de la suscripción del contrato. </w:t>
      </w:r>
    </w:p>
    <w:p w:rsidR="00772647" w:rsidRDefault="00772647" w:rsidP="00772647">
      <w:pPr>
        <w:jc w:val="both"/>
        <w:rPr>
          <w:rFonts w:ascii="Arial" w:eastAsia="Batang" w:hAnsi="Arial" w:cs="Arial"/>
          <w:sz w:val="22"/>
          <w:szCs w:val="22"/>
          <w:lang w:eastAsia="es-MX"/>
        </w:rPr>
      </w:pPr>
    </w:p>
    <w:p w:rsidR="00772647" w:rsidRDefault="00772647" w:rsidP="00772647">
      <w:pPr>
        <w:jc w:val="both"/>
        <w:rPr>
          <w:rFonts w:ascii="Arial" w:eastAsia="Batang" w:hAnsi="Arial" w:cs="Arial"/>
          <w:sz w:val="22"/>
          <w:szCs w:val="22"/>
          <w:lang w:eastAsia="es-MX"/>
        </w:rPr>
      </w:pPr>
      <w:r>
        <w:rPr>
          <w:rFonts w:ascii="Arial" w:eastAsia="Batang" w:hAnsi="Arial" w:cs="Arial"/>
          <w:sz w:val="22"/>
          <w:szCs w:val="22"/>
          <w:lang w:eastAsia="es-MX"/>
        </w:rPr>
        <w:t>Las diferencias detectadas son las siguientes:</w:t>
      </w:r>
    </w:p>
    <w:p w:rsidR="00772647" w:rsidRDefault="00772647" w:rsidP="00772647">
      <w:pPr>
        <w:jc w:val="both"/>
        <w:rPr>
          <w:rFonts w:ascii="Arial" w:eastAsia="Batang" w:hAnsi="Arial" w:cs="Arial"/>
          <w:sz w:val="22"/>
          <w:szCs w:val="22"/>
          <w:lang w:eastAsia="es-MX"/>
        </w:rPr>
      </w:pPr>
    </w:p>
    <w:p w:rsidR="00772647" w:rsidRDefault="00772647" w:rsidP="00772647">
      <w:pPr>
        <w:pStyle w:val="Prrafodelista"/>
        <w:numPr>
          <w:ilvl w:val="0"/>
          <w:numId w:val="1"/>
        </w:numPr>
        <w:shd w:val="clear" w:color="auto" w:fill="FFFFFF"/>
        <w:jc w:val="both"/>
        <w:rPr>
          <w:rFonts w:ascii="Arial" w:eastAsia="Batang" w:hAnsi="Arial" w:cs="Arial"/>
          <w:sz w:val="22"/>
          <w:szCs w:val="22"/>
          <w:lang w:eastAsia="es-MX"/>
        </w:rPr>
      </w:pPr>
      <w:r>
        <w:rPr>
          <w:rFonts w:ascii="Arial" w:eastAsia="Batang" w:hAnsi="Arial" w:cs="Arial"/>
          <w:sz w:val="22"/>
          <w:szCs w:val="22"/>
          <w:lang w:eastAsia="es-MX"/>
        </w:rPr>
        <w:t xml:space="preserve">Plan de Inversión Anticipo: Ítem “11 </w:t>
      </w:r>
      <w:proofErr w:type="spellStart"/>
      <w:r>
        <w:rPr>
          <w:rFonts w:ascii="Arial" w:eastAsia="Batang" w:hAnsi="Arial" w:cs="Arial"/>
          <w:sz w:val="22"/>
          <w:szCs w:val="22"/>
          <w:lang w:eastAsia="es-MX"/>
        </w:rPr>
        <w:t>Totem</w:t>
      </w:r>
      <w:proofErr w:type="spellEnd"/>
      <w:r>
        <w:rPr>
          <w:rFonts w:ascii="Arial" w:eastAsia="Batang" w:hAnsi="Arial" w:cs="Arial"/>
          <w:sz w:val="22"/>
          <w:szCs w:val="22"/>
          <w:lang w:eastAsia="es-MX"/>
        </w:rPr>
        <w:t xml:space="preserve">", se debe ajustar el numeral del ítem de “11 </w:t>
      </w:r>
      <w:proofErr w:type="spellStart"/>
      <w:r>
        <w:rPr>
          <w:rFonts w:ascii="Arial" w:eastAsia="Batang" w:hAnsi="Arial" w:cs="Arial"/>
          <w:sz w:val="22"/>
          <w:szCs w:val="22"/>
          <w:lang w:eastAsia="es-MX"/>
        </w:rPr>
        <w:t>Totem</w:t>
      </w:r>
      <w:proofErr w:type="spellEnd"/>
      <w:r>
        <w:rPr>
          <w:rFonts w:ascii="Arial" w:eastAsia="Batang" w:hAnsi="Arial" w:cs="Arial"/>
          <w:sz w:val="22"/>
          <w:szCs w:val="22"/>
          <w:lang w:eastAsia="es-MX"/>
        </w:rPr>
        <w:t xml:space="preserve">” a “12 </w:t>
      </w:r>
      <w:proofErr w:type="spellStart"/>
      <w:r>
        <w:rPr>
          <w:rFonts w:ascii="Arial" w:eastAsia="Batang" w:hAnsi="Arial" w:cs="Arial"/>
          <w:sz w:val="22"/>
          <w:szCs w:val="22"/>
          <w:lang w:eastAsia="es-MX"/>
        </w:rPr>
        <w:t>Totem</w:t>
      </w:r>
      <w:proofErr w:type="spellEnd"/>
      <w:r>
        <w:rPr>
          <w:rFonts w:ascii="Arial" w:eastAsia="Batang" w:hAnsi="Arial" w:cs="Arial"/>
          <w:sz w:val="22"/>
          <w:szCs w:val="22"/>
          <w:lang w:eastAsia="es-MX"/>
        </w:rPr>
        <w:t xml:space="preserve">”. </w:t>
      </w:r>
    </w:p>
    <w:p w:rsidR="00772647" w:rsidRDefault="00772647" w:rsidP="00772647">
      <w:pPr>
        <w:shd w:val="clear" w:color="auto" w:fill="FFFFFF"/>
        <w:jc w:val="both"/>
        <w:rPr>
          <w:rFonts w:ascii="Arial" w:eastAsia="Batang" w:hAnsi="Arial" w:cs="Arial"/>
          <w:sz w:val="22"/>
          <w:szCs w:val="22"/>
          <w:lang w:eastAsia="es-MX"/>
        </w:rPr>
      </w:pPr>
    </w:p>
    <w:p w:rsidR="00772647" w:rsidRDefault="00772647" w:rsidP="00772647">
      <w:pPr>
        <w:shd w:val="clear" w:color="auto" w:fill="FFFFFF"/>
        <w:ind w:left="708"/>
        <w:jc w:val="both"/>
        <w:rPr>
          <w:rFonts w:ascii="Arial" w:eastAsia="Batang" w:hAnsi="Arial" w:cs="Arial"/>
          <w:sz w:val="22"/>
          <w:szCs w:val="22"/>
          <w:lang w:eastAsia="es-MX"/>
        </w:rPr>
      </w:pPr>
      <w:r>
        <w:rPr>
          <w:rFonts w:ascii="Arial" w:eastAsia="Batang" w:hAnsi="Arial" w:cs="Arial"/>
          <w:sz w:val="22"/>
          <w:szCs w:val="22"/>
          <w:lang w:eastAsia="es-MX"/>
        </w:rPr>
        <w:t>Adicionalmente en el mencionado ítem, se debe ajustar el valor de $538.749.142 a $538.899.143. Se presenta una diferencia de $150.001 en comparación con el valor de la oferta comercial aprobada por el Ministerio, la cual dio origen al contrato 1210.</w:t>
      </w:r>
    </w:p>
    <w:p w:rsidR="00772647" w:rsidRDefault="00772647" w:rsidP="00772647">
      <w:pPr>
        <w:shd w:val="clear" w:color="auto" w:fill="FFFFFF"/>
        <w:jc w:val="both"/>
        <w:rPr>
          <w:rFonts w:ascii="Arial" w:eastAsia="Batang" w:hAnsi="Arial" w:cs="Arial"/>
          <w:sz w:val="22"/>
          <w:szCs w:val="22"/>
          <w:lang w:eastAsia="es-MX"/>
        </w:rPr>
      </w:pPr>
    </w:p>
    <w:p w:rsidR="00772647" w:rsidRDefault="00772647" w:rsidP="00772647">
      <w:pPr>
        <w:pStyle w:val="Prrafodelista"/>
        <w:numPr>
          <w:ilvl w:val="0"/>
          <w:numId w:val="1"/>
        </w:numPr>
        <w:shd w:val="clear" w:color="auto" w:fill="FFFFFF"/>
        <w:jc w:val="both"/>
        <w:rPr>
          <w:rFonts w:ascii="Arial" w:eastAsia="Batang" w:hAnsi="Arial" w:cs="Arial"/>
          <w:sz w:val="22"/>
          <w:szCs w:val="22"/>
          <w:lang w:eastAsia="es-MX"/>
        </w:rPr>
      </w:pPr>
      <w:r>
        <w:rPr>
          <w:rFonts w:ascii="Arial" w:eastAsia="Batang" w:hAnsi="Arial" w:cs="Arial"/>
          <w:sz w:val="22"/>
          <w:szCs w:val="22"/>
          <w:lang w:eastAsia="es-MX"/>
        </w:rPr>
        <w:lastRenderedPageBreak/>
        <w:t xml:space="preserve">Plan de Inversión Anticipo:  Ítem “12 Otros costos por zona </w:t>
      </w:r>
      <w:proofErr w:type="spellStart"/>
      <w:r>
        <w:rPr>
          <w:rFonts w:ascii="Arial" w:eastAsia="Batang" w:hAnsi="Arial" w:cs="Arial"/>
          <w:sz w:val="22"/>
          <w:szCs w:val="22"/>
          <w:lang w:eastAsia="es-MX"/>
        </w:rPr>
        <w:t>WiFi</w:t>
      </w:r>
      <w:proofErr w:type="spellEnd"/>
      <w:r>
        <w:rPr>
          <w:rFonts w:ascii="Arial" w:eastAsia="Batang" w:hAnsi="Arial" w:cs="Arial"/>
          <w:sz w:val="22"/>
          <w:szCs w:val="22"/>
          <w:lang w:eastAsia="es-MX"/>
        </w:rPr>
        <w:t xml:space="preserve">" se debe ajustar el numeral del ítem a “13 Otros costos por zona </w:t>
      </w:r>
      <w:proofErr w:type="spellStart"/>
      <w:r>
        <w:rPr>
          <w:rFonts w:ascii="Arial" w:eastAsia="Batang" w:hAnsi="Arial" w:cs="Arial"/>
          <w:sz w:val="22"/>
          <w:szCs w:val="22"/>
          <w:lang w:eastAsia="es-MX"/>
        </w:rPr>
        <w:t>WiFi</w:t>
      </w:r>
      <w:proofErr w:type="spellEnd"/>
      <w:r>
        <w:rPr>
          <w:rFonts w:ascii="Arial" w:eastAsia="Batang" w:hAnsi="Arial" w:cs="Arial"/>
          <w:sz w:val="22"/>
          <w:szCs w:val="22"/>
          <w:lang w:eastAsia="es-MX"/>
        </w:rPr>
        <w:t>"</w:t>
      </w:r>
    </w:p>
    <w:p w:rsidR="00772647" w:rsidRDefault="00772647" w:rsidP="00772647">
      <w:pPr>
        <w:shd w:val="clear" w:color="auto" w:fill="FFFFFF"/>
        <w:jc w:val="both"/>
        <w:rPr>
          <w:rFonts w:ascii="Arial" w:eastAsia="Batang" w:hAnsi="Arial" w:cs="Arial"/>
          <w:sz w:val="22"/>
          <w:szCs w:val="22"/>
          <w:lang w:eastAsia="es-MX"/>
        </w:rPr>
      </w:pPr>
    </w:p>
    <w:p w:rsidR="00772647" w:rsidRDefault="00772647" w:rsidP="00772647">
      <w:pPr>
        <w:shd w:val="clear" w:color="auto" w:fill="FFFFFF"/>
        <w:ind w:left="708"/>
        <w:jc w:val="both"/>
        <w:rPr>
          <w:rFonts w:ascii="Arial" w:eastAsia="Batang" w:hAnsi="Arial" w:cs="Arial"/>
          <w:sz w:val="22"/>
          <w:szCs w:val="22"/>
          <w:lang w:eastAsia="es-MX"/>
        </w:rPr>
      </w:pPr>
      <w:r>
        <w:rPr>
          <w:rFonts w:ascii="Arial" w:eastAsia="Batang" w:hAnsi="Arial" w:cs="Arial"/>
          <w:sz w:val="22"/>
          <w:szCs w:val="22"/>
          <w:lang w:eastAsia="es-MX"/>
        </w:rPr>
        <w:t>Adicionalmente en el mencionado ítem, se debe ajustar de $471.085.676 a $470.935.677. Lo anterior, dado que se encuentra una diferencia de -$149.999 en comparación con el valor de la oferta comercial aprobada por el Ministerio, la cual dio origen al contrato 1210.</w:t>
      </w:r>
    </w:p>
    <w:p w:rsidR="00772647" w:rsidRDefault="00772647" w:rsidP="00772647">
      <w:pPr>
        <w:shd w:val="clear" w:color="auto" w:fill="FFFFFF"/>
        <w:jc w:val="both"/>
        <w:rPr>
          <w:rFonts w:ascii="Arial" w:eastAsia="Batang" w:hAnsi="Arial" w:cs="Arial"/>
          <w:sz w:val="22"/>
          <w:szCs w:val="22"/>
          <w:lang w:eastAsia="es-MX"/>
        </w:rPr>
      </w:pPr>
    </w:p>
    <w:p w:rsidR="00772647" w:rsidRDefault="00772647" w:rsidP="00772647">
      <w:pPr>
        <w:shd w:val="clear" w:color="auto" w:fill="FFFFFF"/>
        <w:ind w:left="708"/>
        <w:jc w:val="both"/>
        <w:rPr>
          <w:rFonts w:ascii="Arial" w:eastAsia="Batang" w:hAnsi="Arial" w:cs="Arial"/>
          <w:sz w:val="22"/>
          <w:szCs w:val="22"/>
          <w:lang w:eastAsia="es-MX"/>
        </w:rPr>
      </w:pPr>
      <w:r>
        <w:rPr>
          <w:rFonts w:ascii="Arial" w:eastAsia="Batang" w:hAnsi="Arial" w:cs="Arial"/>
          <w:sz w:val="22"/>
          <w:szCs w:val="22"/>
          <w:lang w:eastAsia="es-MX"/>
        </w:rPr>
        <w:t>En la columna “unidad de medida” ítem No. 2 Access Point se requiere ajustar la unidad a “global”.</w:t>
      </w:r>
    </w:p>
    <w:p w:rsidR="00772647" w:rsidRDefault="00772647" w:rsidP="00772647">
      <w:pPr>
        <w:shd w:val="clear" w:color="auto" w:fill="FFFFFF"/>
        <w:jc w:val="both"/>
        <w:rPr>
          <w:rFonts w:ascii="Arial" w:eastAsia="Batang" w:hAnsi="Arial" w:cs="Arial"/>
          <w:sz w:val="22"/>
          <w:szCs w:val="22"/>
          <w:lang w:eastAsia="es-MX"/>
        </w:rPr>
      </w:pPr>
    </w:p>
    <w:p w:rsidR="00772647" w:rsidRDefault="00772647" w:rsidP="00772647">
      <w:pPr>
        <w:shd w:val="clear" w:color="auto" w:fill="FFFFFF"/>
        <w:ind w:firstLine="708"/>
        <w:jc w:val="both"/>
        <w:rPr>
          <w:rFonts w:ascii="Arial" w:eastAsia="Batang" w:hAnsi="Arial" w:cs="Arial"/>
          <w:sz w:val="22"/>
          <w:szCs w:val="22"/>
          <w:lang w:eastAsia="es-MX"/>
        </w:rPr>
      </w:pPr>
      <w:r>
        <w:rPr>
          <w:rFonts w:ascii="Arial" w:eastAsia="Batang" w:hAnsi="Arial" w:cs="Arial"/>
          <w:sz w:val="22"/>
          <w:szCs w:val="22"/>
          <w:lang w:eastAsia="es-MX"/>
        </w:rPr>
        <w:t>Los valores deben presentarse en términos de pesos (sin decimales).</w:t>
      </w:r>
    </w:p>
    <w:p w:rsidR="00772647" w:rsidRDefault="00772647" w:rsidP="00772647">
      <w:pPr>
        <w:jc w:val="both"/>
        <w:rPr>
          <w:rFonts w:ascii="Arial" w:eastAsia="Batang" w:hAnsi="Arial" w:cs="Arial"/>
          <w:sz w:val="22"/>
          <w:szCs w:val="22"/>
          <w:lang w:eastAsia="es-MX"/>
        </w:rPr>
      </w:pPr>
    </w:p>
    <w:p w:rsidR="00772647" w:rsidRDefault="00772647" w:rsidP="00772647">
      <w:pPr>
        <w:jc w:val="both"/>
        <w:rPr>
          <w:rFonts w:ascii="Arial" w:eastAsia="Batang" w:hAnsi="Arial" w:cs="Arial"/>
          <w:sz w:val="22"/>
          <w:szCs w:val="22"/>
          <w:lang w:eastAsia="es-MX"/>
        </w:rPr>
      </w:pPr>
    </w:p>
    <w:p w:rsidR="00772647" w:rsidRDefault="00772647" w:rsidP="00772647">
      <w:pPr>
        <w:jc w:val="both"/>
        <w:rPr>
          <w:rFonts w:ascii="Arial" w:eastAsia="Batang" w:hAnsi="Arial" w:cs="Arial"/>
          <w:sz w:val="22"/>
          <w:szCs w:val="22"/>
          <w:lang w:eastAsia="es-MX"/>
        </w:rPr>
      </w:pPr>
      <w:r>
        <w:rPr>
          <w:rFonts w:ascii="Arial" w:eastAsia="Batang" w:hAnsi="Arial" w:cs="Arial"/>
          <w:sz w:val="22"/>
          <w:szCs w:val="22"/>
          <w:lang w:eastAsia="es-MX"/>
        </w:rPr>
        <w:t>Por lo anterior, se solicita a TELEBUCARAMANGA efectuar el ajuste en el Plan de Inversión del Anticipo del contrato 1210, conforme los valores registrados en la oferta comercial sin incluir decimales, y remitir a la Interventoría el Plan de Inversión de Anticipo ajustado y firmado por el representante legal, para su respectivo trámite.</w:t>
      </w:r>
    </w:p>
    <w:p w:rsidR="00772647" w:rsidRDefault="00772647" w:rsidP="00772647">
      <w:pPr>
        <w:jc w:val="both"/>
        <w:rPr>
          <w:rFonts w:ascii="Arial" w:eastAsia="Batang" w:hAnsi="Arial" w:cs="Arial"/>
          <w:sz w:val="22"/>
          <w:szCs w:val="22"/>
          <w:lang w:eastAsia="es-MX"/>
        </w:rPr>
      </w:pPr>
    </w:p>
    <w:p w:rsidR="00772647" w:rsidRDefault="00772647" w:rsidP="00772647">
      <w:pPr>
        <w:jc w:val="both"/>
        <w:rPr>
          <w:rFonts w:ascii="Arial" w:eastAsia="Batang" w:hAnsi="Arial" w:cs="Arial"/>
          <w:sz w:val="22"/>
          <w:szCs w:val="22"/>
          <w:lang w:eastAsia="es-MX"/>
        </w:rPr>
      </w:pPr>
      <w:r>
        <w:rPr>
          <w:rFonts w:ascii="Arial" w:eastAsia="Batang" w:hAnsi="Arial" w:cs="Arial"/>
          <w:sz w:val="22"/>
          <w:szCs w:val="22"/>
          <w:lang w:eastAsia="es-MX"/>
        </w:rPr>
        <w:t xml:space="preserve">Con respecto a las facturas que se remitieron digitalmente el día de hoy, se hace necesario que </w:t>
      </w:r>
      <w:proofErr w:type="gramStart"/>
      <w:r>
        <w:rPr>
          <w:rFonts w:ascii="Arial" w:eastAsia="Batang" w:hAnsi="Arial" w:cs="Arial"/>
          <w:sz w:val="22"/>
          <w:szCs w:val="22"/>
          <w:lang w:eastAsia="es-MX"/>
        </w:rPr>
        <w:t>éstas</w:t>
      </w:r>
      <w:proofErr w:type="gramEnd"/>
      <w:r>
        <w:rPr>
          <w:rFonts w:ascii="Arial" w:eastAsia="Batang" w:hAnsi="Arial" w:cs="Arial"/>
          <w:sz w:val="22"/>
          <w:szCs w:val="22"/>
          <w:lang w:eastAsia="es-MX"/>
        </w:rPr>
        <w:t xml:space="preserve"> facturas se corrijan conforme los valores que se reporten en el Plan de Inversión del Anticipo ajustado y sin decimales.</w:t>
      </w:r>
    </w:p>
    <w:p w:rsidR="00772647" w:rsidRDefault="00772647" w:rsidP="00772647">
      <w:pPr>
        <w:jc w:val="both"/>
        <w:rPr>
          <w:rFonts w:ascii="Arial" w:eastAsia="Batang" w:hAnsi="Arial" w:cs="Arial"/>
          <w:sz w:val="22"/>
          <w:szCs w:val="22"/>
          <w:lang w:eastAsia="es-MX"/>
        </w:rPr>
      </w:pPr>
    </w:p>
    <w:p w:rsidR="00772647" w:rsidRDefault="00772647" w:rsidP="00772647">
      <w:pPr>
        <w:jc w:val="both"/>
        <w:rPr>
          <w:rFonts w:ascii="Arial" w:hAnsi="Arial" w:cs="Arial"/>
          <w:sz w:val="22"/>
          <w:szCs w:val="22"/>
        </w:rPr>
      </w:pPr>
      <w:r>
        <w:rPr>
          <w:rFonts w:ascii="Arial" w:hAnsi="Arial" w:cs="Arial"/>
          <w:sz w:val="22"/>
          <w:szCs w:val="22"/>
        </w:rPr>
        <w:t>De antemano agradecemos su celeridad en esta gestión.</w:t>
      </w:r>
    </w:p>
    <w:p w:rsidR="00772647" w:rsidRDefault="00772647" w:rsidP="00772647">
      <w:pPr>
        <w:rPr>
          <w:rFonts w:ascii="Arial" w:hAnsi="Arial" w:cs="Arial"/>
          <w:sz w:val="22"/>
          <w:szCs w:val="22"/>
        </w:rPr>
      </w:pPr>
    </w:p>
    <w:p w:rsidR="00772647" w:rsidRDefault="00772647" w:rsidP="00772647">
      <w:pPr>
        <w:rPr>
          <w:rFonts w:ascii="Arial" w:hAnsi="Arial" w:cs="Arial"/>
          <w:sz w:val="22"/>
          <w:szCs w:val="22"/>
        </w:rPr>
      </w:pPr>
      <w:r>
        <w:rPr>
          <w:rFonts w:ascii="Arial" w:hAnsi="Arial" w:cs="Arial"/>
          <w:sz w:val="22"/>
          <w:szCs w:val="22"/>
        </w:rPr>
        <w:t>Cordial saludo,</w:t>
      </w:r>
    </w:p>
    <w:p w:rsidR="00772647" w:rsidRDefault="00772647" w:rsidP="00772647">
      <w:pPr>
        <w:rPr>
          <w:rFonts w:ascii="Arial" w:hAnsi="Arial" w:cs="Arial"/>
          <w:sz w:val="22"/>
          <w:szCs w:val="22"/>
        </w:rPr>
      </w:pPr>
    </w:p>
    <w:p w:rsidR="00772647" w:rsidRDefault="00772647" w:rsidP="00772647"/>
    <w:p w:rsidR="00772647" w:rsidRDefault="00772647" w:rsidP="00772647"/>
    <w:p w:rsidR="00772647" w:rsidRDefault="00772647" w:rsidP="00772647">
      <w:pPr>
        <w:rPr>
          <w:rFonts w:ascii="Arial" w:hAnsi="Arial" w:cs="Arial"/>
          <w:b/>
          <w:color w:val="212121"/>
          <w:sz w:val="22"/>
          <w:szCs w:val="22"/>
        </w:rPr>
      </w:pPr>
      <w:r>
        <w:br/>
      </w:r>
      <w:r>
        <w:rPr>
          <w:rFonts w:ascii="Arial" w:hAnsi="Arial" w:cs="Arial"/>
          <w:b/>
          <w:color w:val="212121"/>
          <w:sz w:val="22"/>
          <w:szCs w:val="22"/>
        </w:rPr>
        <w:t>Juan Carlos Jiménez Sanz</w:t>
      </w:r>
    </w:p>
    <w:p w:rsidR="00772647" w:rsidRDefault="00772647" w:rsidP="00772647">
      <w:pPr>
        <w:rPr>
          <w:rFonts w:ascii="Arial" w:hAnsi="Arial" w:cs="Arial"/>
          <w:color w:val="212121"/>
          <w:sz w:val="22"/>
          <w:szCs w:val="22"/>
        </w:rPr>
      </w:pPr>
      <w:r>
        <w:rPr>
          <w:rFonts w:ascii="Arial" w:hAnsi="Arial" w:cs="Arial"/>
          <w:color w:val="212121"/>
          <w:sz w:val="22"/>
          <w:szCs w:val="22"/>
        </w:rPr>
        <w:t xml:space="preserve">Director </w:t>
      </w:r>
    </w:p>
    <w:p w:rsidR="00772647" w:rsidRDefault="00772647" w:rsidP="00772647">
      <w:pPr>
        <w:rPr>
          <w:rFonts w:ascii="Arial" w:hAnsi="Arial" w:cs="Arial"/>
          <w:color w:val="212121"/>
          <w:sz w:val="22"/>
          <w:szCs w:val="22"/>
        </w:rPr>
      </w:pPr>
      <w:r>
        <w:rPr>
          <w:rFonts w:ascii="Arial" w:hAnsi="Arial" w:cs="Arial"/>
          <w:color w:val="212121"/>
          <w:sz w:val="22"/>
          <w:szCs w:val="22"/>
        </w:rPr>
        <w:t xml:space="preserve">Interventoría Integral Promoción Urbana de las Tic a través de zonas </w:t>
      </w:r>
      <w:proofErr w:type="spellStart"/>
      <w:r>
        <w:rPr>
          <w:rFonts w:ascii="Arial" w:hAnsi="Arial" w:cs="Arial"/>
          <w:color w:val="212121"/>
          <w:sz w:val="22"/>
          <w:szCs w:val="22"/>
        </w:rPr>
        <w:t>Wi</w:t>
      </w:r>
      <w:proofErr w:type="spellEnd"/>
      <w:r>
        <w:rPr>
          <w:rFonts w:ascii="Arial" w:hAnsi="Arial" w:cs="Arial"/>
          <w:color w:val="212121"/>
          <w:sz w:val="22"/>
          <w:szCs w:val="22"/>
        </w:rPr>
        <w:t xml:space="preserve">-Fi </w:t>
      </w:r>
    </w:p>
    <w:p w:rsidR="00772647" w:rsidRDefault="00772647" w:rsidP="00772647">
      <w:pPr>
        <w:rPr>
          <w:rFonts w:ascii="Arial" w:hAnsi="Arial" w:cs="Arial"/>
          <w:color w:val="212121"/>
          <w:sz w:val="22"/>
          <w:szCs w:val="22"/>
        </w:rPr>
      </w:pPr>
      <w:r>
        <w:rPr>
          <w:rFonts w:ascii="Arial" w:hAnsi="Arial" w:cs="Arial"/>
          <w:color w:val="212121"/>
          <w:sz w:val="22"/>
          <w:szCs w:val="22"/>
        </w:rPr>
        <w:t>Universidad de Caldas</w:t>
      </w:r>
    </w:p>
    <w:p w:rsidR="00772647" w:rsidRDefault="00772647" w:rsidP="00772647">
      <w:pPr>
        <w:rPr>
          <w:rFonts w:ascii="Arial" w:hAnsi="Arial" w:cs="Arial"/>
          <w:color w:val="212121"/>
          <w:sz w:val="22"/>
          <w:szCs w:val="22"/>
        </w:rPr>
      </w:pPr>
      <w:bookmarkStart w:id="0" w:name="_GoBack"/>
      <w:bookmarkEnd w:id="0"/>
    </w:p>
    <w:p w:rsidR="00772647" w:rsidRDefault="00772647" w:rsidP="00772647">
      <w:pPr>
        <w:rPr>
          <w:rFonts w:ascii="Arial" w:hAnsi="Arial" w:cs="Arial"/>
          <w:color w:val="212121"/>
          <w:sz w:val="16"/>
          <w:szCs w:val="16"/>
        </w:rPr>
      </w:pPr>
    </w:p>
    <w:p w:rsidR="00772647" w:rsidRDefault="00772647" w:rsidP="00772647">
      <w:pPr>
        <w:rPr>
          <w:rFonts w:ascii="Arial" w:hAnsi="Arial" w:cs="Arial"/>
          <w:color w:val="212121"/>
          <w:sz w:val="16"/>
          <w:szCs w:val="16"/>
        </w:rPr>
      </w:pPr>
      <w:r>
        <w:rPr>
          <w:rFonts w:ascii="Arial" w:hAnsi="Arial" w:cs="Arial"/>
          <w:color w:val="212121"/>
          <w:sz w:val="16"/>
          <w:szCs w:val="16"/>
        </w:rPr>
        <w:t xml:space="preserve">C.C Dr. Javier Medina - </w:t>
      </w:r>
      <w:proofErr w:type="spellStart"/>
      <w:r>
        <w:rPr>
          <w:rFonts w:ascii="Arial" w:hAnsi="Arial" w:cs="Arial"/>
          <w:color w:val="212121"/>
          <w:sz w:val="16"/>
          <w:szCs w:val="16"/>
        </w:rPr>
        <w:t>MinTic</w:t>
      </w:r>
      <w:proofErr w:type="spellEnd"/>
    </w:p>
    <w:p w:rsidR="009F394C" w:rsidRPr="00772647" w:rsidRDefault="009F394C" w:rsidP="0088431C">
      <w:pPr>
        <w:rPr>
          <w:sz w:val="20"/>
        </w:rPr>
      </w:pPr>
    </w:p>
    <w:p w:rsidR="0088431C" w:rsidRPr="00772647" w:rsidRDefault="009F394C" w:rsidP="0088431C">
      <w:pPr>
        <w:rPr>
          <w:rFonts w:ascii="Arial" w:hAnsi="Arial" w:cs="Arial"/>
          <w:sz w:val="16"/>
        </w:rPr>
      </w:pPr>
      <w:r w:rsidRPr="009F394C">
        <w:rPr>
          <w:rFonts w:ascii="Arial" w:hAnsi="Arial" w:cs="Arial"/>
          <w:sz w:val="16"/>
        </w:rPr>
        <w:t>Proyectó, Revisó y Aprobó: Magda Rojas – Dirección Financiera</w:t>
      </w:r>
    </w:p>
    <w:sectPr w:rsidR="0088431C" w:rsidRPr="00772647" w:rsidSect="008F6F10">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4AB" w:rsidRDefault="003E24AB" w:rsidP="00D01CB5">
      <w:r>
        <w:separator/>
      </w:r>
    </w:p>
  </w:endnote>
  <w:endnote w:type="continuationSeparator" w:id="0">
    <w:p w:rsidR="003E24AB" w:rsidRDefault="003E24AB" w:rsidP="00D01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36" w:rsidRDefault="00A46A3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1F5" w:rsidRDefault="00A46A36" w:rsidP="0088431C">
    <w:pPr>
      <w:pStyle w:val="Piedepgina"/>
      <w:tabs>
        <w:tab w:val="clear" w:pos="4419"/>
        <w:tab w:val="clear" w:pos="8838"/>
        <w:tab w:val="left" w:pos="1658"/>
      </w:tabs>
    </w:pPr>
    <w:r w:rsidRPr="00A46A36">
      <w:rPr>
        <w:noProof/>
      </w:rPr>
      <w:drawing>
        <wp:inline distT="0" distB="0" distL="0" distR="0" wp14:anchorId="5AEE2F89" wp14:editId="7EA28311">
          <wp:extent cx="2958066" cy="1424763"/>
          <wp:effectExtent l="19050" t="0" r="0" b="0"/>
          <wp:docPr id="1" name="6 Imagen" descr="pie de p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de pag.jpg"/>
                  <pic:cNvPicPr/>
                </pic:nvPicPr>
                <pic:blipFill>
                  <a:blip r:embed="rId1"/>
                  <a:stretch>
                    <a:fillRect/>
                  </a:stretch>
                </pic:blipFill>
                <pic:spPr>
                  <a:xfrm>
                    <a:off x="0" y="0"/>
                    <a:ext cx="2958066" cy="1424763"/>
                  </a:xfrm>
                  <a:prstGeom prst="rect">
                    <a:avLst/>
                  </a:prstGeom>
                </pic:spPr>
              </pic:pic>
            </a:graphicData>
          </a:graphic>
        </wp:inline>
      </w:drawing>
    </w:r>
    <w:r w:rsidRPr="00A46A36">
      <w:rPr>
        <w:noProof/>
      </w:rPr>
      <w:drawing>
        <wp:inline distT="0" distB="0" distL="0" distR="0" wp14:anchorId="3B8B1D62" wp14:editId="62F31C54">
          <wp:extent cx="2405173" cy="1220493"/>
          <wp:effectExtent l="19050" t="0" r="0" b="0"/>
          <wp:docPr id="6" name="Imagen 13" descr="C:\Users\USER\Desktop\pie de pa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pie de pag 2.jpg"/>
                  <pic:cNvPicPr>
                    <a:picLocks noChangeAspect="1" noChangeArrowheads="1"/>
                  </pic:cNvPicPr>
                </pic:nvPicPr>
                <pic:blipFill>
                  <a:blip r:embed="rId2"/>
                  <a:srcRect/>
                  <a:stretch>
                    <a:fillRect/>
                  </a:stretch>
                </pic:blipFill>
                <pic:spPr bwMode="auto">
                  <a:xfrm>
                    <a:off x="0" y="0"/>
                    <a:ext cx="2405173" cy="1220493"/>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36" w:rsidRDefault="00A46A3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4AB" w:rsidRDefault="003E24AB" w:rsidP="00D01CB5">
      <w:r>
        <w:separator/>
      </w:r>
    </w:p>
  </w:footnote>
  <w:footnote w:type="continuationSeparator" w:id="0">
    <w:p w:rsidR="003E24AB" w:rsidRDefault="003E24AB" w:rsidP="00D01C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36" w:rsidRDefault="00A46A3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CB5" w:rsidRPr="00D01CB5" w:rsidRDefault="00487AEC" w:rsidP="003375D3">
    <w:pPr>
      <w:pStyle w:val="Encabezado"/>
      <w:jc w:val="right"/>
    </w:pPr>
    <w:r>
      <w:rPr>
        <w:noProof/>
      </w:rPr>
      <w:drawing>
        <wp:anchor distT="0" distB="0" distL="114300" distR="114300" simplePos="0" relativeHeight="251657728" behindDoc="0" locked="0" layoutInCell="1" allowOverlap="1" wp14:anchorId="34FF7A3D" wp14:editId="48013DDE">
          <wp:simplePos x="0" y="0"/>
          <wp:positionH relativeFrom="column">
            <wp:posOffset>-393700</wp:posOffset>
          </wp:positionH>
          <wp:positionV relativeFrom="paragraph">
            <wp:posOffset>103505</wp:posOffset>
          </wp:positionV>
          <wp:extent cx="2009775" cy="1250315"/>
          <wp:effectExtent l="19050" t="0" r="9525" b="0"/>
          <wp:wrapSquare wrapText="bothSides"/>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srcRect/>
                  <a:stretch>
                    <a:fillRect/>
                  </a:stretch>
                </pic:blipFill>
                <pic:spPr bwMode="auto">
                  <a:xfrm>
                    <a:off x="0" y="0"/>
                    <a:ext cx="2009775" cy="1250315"/>
                  </a:xfrm>
                  <a:prstGeom prst="rect">
                    <a:avLst/>
                  </a:prstGeom>
                  <a:noFill/>
                  <a:ln w="9525">
                    <a:noFill/>
                    <a:miter lim="800000"/>
                    <a:headEnd/>
                    <a:tailEnd/>
                  </a:ln>
                </pic:spPr>
              </pic:pic>
            </a:graphicData>
          </a:graphic>
        </wp:anchor>
      </w:drawing>
    </w:r>
    <w:r w:rsidR="007161A0">
      <w:tab/>
    </w:r>
    <w:r w:rsidR="003375D3">
      <w:t xml:space="preserve">                                                   </w:t>
    </w:r>
    <w:r>
      <w:rPr>
        <w:noProof/>
      </w:rPr>
      <w:drawing>
        <wp:inline distT="0" distB="0" distL="0" distR="0" wp14:anchorId="72AF40F7" wp14:editId="485C4355">
          <wp:extent cx="1360805" cy="136080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srcRect/>
                  <a:stretch>
                    <a:fillRect/>
                  </a:stretch>
                </pic:blipFill>
                <pic:spPr bwMode="auto">
                  <a:xfrm>
                    <a:off x="0" y="0"/>
                    <a:ext cx="1360805" cy="1360805"/>
                  </a:xfrm>
                  <a:prstGeom prst="rect">
                    <a:avLst/>
                  </a:prstGeom>
                  <a:noFill/>
                  <a:ln w="9525">
                    <a:noFill/>
                    <a:miter lim="800000"/>
                    <a:headEnd/>
                    <a:tailEnd/>
                  </a:ln>
                </pic:spPr>
              </pic:pic>
            </a:graphicData>
          </a:graphic>
        </wp:inline>
      </w:drawing>
    </w:r>
    <w:r w:rsidR="003375D3">
      <w:t xml:space="preserve">   </w:t>
    </w:r>
    <w:r>
      <w:rPr>
        <w:noProof/>
      </w:rPr>
      <w:drawing>
        <wp:inline distT="0" distB="0" distL="0" distR="0" wp14:anchorId="168FFA9C" wp14:editId="2C8DE746">
          <wp:extent cx="1913890" cy="840105"/>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srcRect/>
                  <a:stretch>
                    <a:fillRect/>
                  </a:stretch>
                </pic:blipFill>
                <pic:spPr bwMode="auto">
                  <a:xfrm>
                    <a:off x="0" y="0"/>
                    <a:ext cx="1913890" cy="840105"/>
                  </a:xfrm>
                  <a:prstGeom prst="rect">
                    <a:avLst/>
                  </a:prstGeom>
                  <a:noFill/>
                  <a:ln w="9525">
                    <a:noFill/>
                    <a:miter lim="800000"/>
                    <a:headEnd/>
                    <a:tailEnd/>
                  </a:ln>
                </pic:spPr>
              </pic:pic>
            </a:graphicData>
          </a:graphic>
        </wp:inline>
      </w:drawing>
    </w:r>
    <w:r w:rsidR="007161A0">
      <w:tab/>
    </w:r>
  </w:p>
  <w:p w:rsidR="003375D3" w:rsidRDefault="003375D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36" w:rsidRDefault="00A46A3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606FC4"/>
    <w:multiLevelType w:val="hybridMultilevel"/>
    <w:tmpl w:val="E55C8788"/>
    <w:lvl w:ilvl="0" w:tplc="7DB63DE4">
      <w:numFmt w:val="bullet"/>
      <w:lvlText w:val="-"/>
      <w:lvlJc w:val="left"/>
      <w:pPr>
        <w:ind w:left="720" w:hanging="360"/>
      </w:pPr>
      <w:rPr>
        <w:rFonts w:ascii="Arial" w:eastAsia="Batang"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CB5"/>
    <w:rsid w:val="00007EAE"/>
    <w:rsid w:val="00010FB4"/>
    <w:rsid w:val="0003385B"/>
    <w:rsid w:val="00056E8C"/>
    <w:rsid w:val="00057A3A"/>
    <w:rsid w:val="000F22CD"/>
    <w:rsid w:val="00242872"/>
    <w:rsid w:val="0027512F"/>
    <w:rsid w:val="00304B23"/>
    <w:rsid w:val="003206E0"/>
    <w:rsid w:val="003241EB"/>
    <w:rsid w:val="003375D3"/>
    <w:rsid w:val="0039562C"/>
    <w:rsid w:val="003A0D6D"/>
    <w:rsid w:val="003E24AB"/>
    <w:rsid w:val="003E65FA"/>
    <w:rsid w:val="00407B47"/>
    <w:rsid w:val="00421B92"/>
    <w:rsid w:val="00487AEC"/>
    <w:rsid w:val="004E21FD"/>
    <w:rsid w:val="00513059"/>
    <w:rsid w:val="005D2D31"/>
    <w:rsid w:val="00637F3B"/>
    <w:rsid w:val="006B201A"/>
    <w:rsid w:val="006C56BA"/>
    <w:rsid w:val="006F5606"/>
    <w:rsid w:val="007161A0"/>
    <w:rsid w:val="00767223"/>
    <w:rsid w:val="00772647"/>
    <w:rsid w:val="007D3D99"/>
    <w:rsid w:val="00805C1F"/>
    <w:rsid w:val="00822FC4"/>
    <w:rsid w:val="0088431C"/>
    <w:rsid w:val="008D1060"/>
    <w:rsid w:val="008F6F10"/>
    <w:rsid w:val="009373A4"/>
    <w:rsid w:val="009569E1"/>
    <w:rsid w:val="0099355B"/>
    <w:rsid w:val="009C5C4C"/>
    <w:rsid w:val="009F394C"/>
    <w:rsid w:val="00A10D63"/>
    <w:rsid w:val="00A162C6"/>
    <w:rsid w:val="00A46A36"/>
    <w:rsid w:val="00AA2A8F"/>
    <w:rsid w:val="00B34F6A"/>
    <w:rsid w:val="00BA5BF8"/>
    <w:rsid w:val="00BA7B16"/>
    <w:rsid w:val="00BD05E9"/>
    <w:rsid w:val="00BE0C3A"/>
    <w:rsid w:val="00C537B9"/>
    <w:rsid w:val="00CC0F68"/>
    <w:rsid w:val="00CC4DEF"/>
    <w:rsid w:val="00CE429C"/>
    <w:rsid w:val="00D01CB5"/>
    <w:rsid w:val="00DD51F5"/>
    <w:rsid w:val="00E871DF"/>
    <w:rsid w:val="00EA67B7"/>
    <w:rsid w:val="00EC111A"/>
    <w:rsid w:val="00F058DB"/>
    <w:rsid w:val="00F14EF6"/>
    <w:rsid w:val="00F24B18"/>
    <w:rsid w:val="00F83793"/>
    <w:rsid w:val="00FA5A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A8F"/>
    <w:rPr>
      <w:rFonts w:ascii="Times New Roman" w:eastAsia="Times New Roman" w:hAnsi="Times New Roman"/>
      <w:sz w:val="24"/>
      <w:szCs w:val="24"/>
    </w:rPr>
  </w:style>
  <w:style w:type="paragraph" w:styleId="Ttulo1">
    <w:name w:val="heading 1"/>
    <w:basedOn w:val="Normal"/>
    <w:next w:val="Normal"/>
    <w:link w:val="Ttulo1Car"/>
    <w:uiPriority w:val="9"/>
    <w:qFormat/>
    <w:rsid w:val="009C5C4C"/>
    <w:pPr>
      <w:keepNext/>
      <w:spacing w:before="240" w:after="60"/>
      <w:outlineLvl w:val="0"/>
    </w:pPr>
    <w:rPr>
      <w:rFonts w:asciiTheme="majorHAnsi" w:eastAsiaTheme="majorEastAsia" w:hAnsiTheme="majorHAnsi" w:cstheme="majorBidi"/>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01CB5"/>
    <w:pPr>
      <w:tabs>
        <w:tab w:val="center" w:pos="4419"/>
        <w:tab w:val="right" w:pos="8838"/>
      </w:tabs>
    </w:pPr>
  </w:style>
  <w:style w:type="character" w:customStyle="1" w:styleId="EncabezadoCar">
    <w:name w:val="Encabezado Car"/>
    <w:basedOn w:val="Fuentedeprrafopredeter"/>
    <w:link w:val="Encabezado"/>
    <w:uiPriority w:val="99"/>
    <w:semiHidden/>
    <w:rsid w:val="00D01CB5"/>
  </w:style>
  <w:style w:type="paragraph" w:styleId="Piedepgina">
    <w:name w:val="footer"/>
    <w:basedOn w:val="Normal"/>
    <w:link w:val="PiedepginaCar"/>
    <w:uiPriority w:val="99"/>
    <w:semiHidden/>
    <w:unhideWhenUsed/>
    <w:rsid w:val="00D01CB5"/>
    <w:pPr>
      <w:tabs>
        <w:tab w:val="center" w:pos="4419"/>
        <w:tab w:val="right" w:pos="8838"/>
      </w:tabs>
    </w:pPr>
  </w:style>
  <w:style w:type="character" w:customStyle="1" w:styleId="PiedepginaCar">
    <w:name w:val="Pie de página Car"/>
    <w:basedOn w:val="Fuentedeprrafopredeter"/>
    <w:link w:val="Piedepgina"/>
    <w:uiPriority w:val="99"/>
    <w:semiHidden/>
    <w:rsid w:val="00D01CB5"/>
  </w:style>
  <w:style w:type="paragraph" w:styleId="Textodeglobo">
    <w:name w:val="Balloon Text"/>
    <w:basedOn w:val="Normal"/>
    <w:link w:val="TextodegloboCar"/>
    <w:uiPriority w:val="99"/>
    <w:semiHidden/>
    <w:unhideWhenUsed/>
    <w:rsid w:val="00DD51F5"/>
    <w:rPr>
      <w:rFonts w:ascii="Tahoma" w:hAnsi="Tahoma" w:cs="Tahoma"/>
      <w:sz w:val="16"/>
      <w:szCs w:val="16"/>
    </w:rPr>
  </w:style>
  <w:style w:type="character" w:customStyle="1" w:styleId="TextodegloboCar">
    <w:name w:val="Texto de globo Car"/>
    <w:basedOn w:val="Fuentedeprrafopredeter"/>
    <w:link w:val="Textodeglobo"/>
    <w:uiPriority w:val="99"/>
    <w:semiHidden/>
    <w:rsid w:val="00DD51F5"/>
    <w:rPr>
      <w:rFonts w:ascii="Tahoma" w:hAnsi="Tahoma" w:cs="Tahoma"/>
      <w:sz w:val="16"/>
      <w:szCs w:val="16"/>
      <w:lang w:eastAsia="en-US"/>
    </w:rPr>
  </w:style>
  <w:style w:type="character" w:styleId="Hipervnculo">
    <w:name w:val="Hyperlink"/>
    <w:basedOn w:val="Fuentedeprrafopredeter"/>
    <w:uiPriority w:val="99"/>
    <w:unhideWhenUsed/>
    <w:rsid w:val="00DD51F5"/>
    <w:rPr>
      <w:color w:val="0000FF"/>
      <w:u w:val="single"/>
    </w:rPr>
  </w:style>
  <w:style w:type="paragraph" w:styleId="Textoindependiente">
    <w:name w:val="Body Text"/>
    <w:basedOn w:val="Normal"/>
    <w:link w:val="TextoindependienteCar"/>
    <w:rsid w:val="00AA2A8F"/>
    <w:pPr>
      <w:spacing w:after="120"/>
    </w:pPr>
    <w:rPr>
      <w:lang w:val="es-ES" w:eastAsia="es-ES"/>
    </w:rPr>
  </w:style>
  <w:style w:type="character" w:customStyle="1" w:styleId="TextoindependienteCar">
    <w:name w:val="Texto independiente Car"/>
    <w:basedOn w:val="Fuentedeprrafopredeter"/>
    <w:link w:val="Textoindependiente"/>
    <w:rsid w:val="00AA2A8F"/>
    <w:rPr>
      <w:rFonts w:ascii="Times New Roman" w:eastAsia="Times New Roman" w:hAnsi="Times New Roman"/>
      <w:sz w:val="24"/>
      <w:szCs w:val="24"/>
      <w:lang w:val="es-ES" w:eastAsia="es-ES"/>
    </w:rPr>
  </w:style>
  <w:style w:type="character" w:customStyle="1" w:styleId="Ttulo1Car">
    <w:name w:val="Título 1 Car"/>
    <w:basedOn w:val="Fuentedeprrafopredeter"/>
    <w:link w:val="Ttulo1"/>
    <w:uiPriority w:val="9"/>
    <w:rsid w:val="009C5C4C"/>
    <w:rPr>
      <w:rFonts w:asciiTheme="majorHAnsi" w:eastAsiaTheme="majorEastAsia" w:hAnsiTheme="majorHAnsi" w:cstheme="majorBidi"/>
      <w:b/>
      <w:bCs/>
      <w:kern w:val="32"/>
      <w:sz w:val="32"/>
      <w:szCs w:val="32"/>
    </w:rPr>
  </w:style>
  <w:style w:type="paragraph" w:styleId="Prrafodelista">
    <w:name w:val="List Paragraph"/>
    <w:basedOn w:val="Normal"/>
    <w:uiPriority w:val="34"/>
    <w:qFormat/>
    <w:rsid w:val="007726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A8F"/>
    <w:rPr>
      <w:rFonts w:ascii="Times New Roman" w:eastAsia="Times New Roman" w:hAnsi="Times New Roman"/>
      <w:sz w:val="24"/>
      <w:szCs w:val="24"/>
    </w:rPr>
  </w:style>
  <w:style w:type="paragraph" w:styleId="Ttulo1">
    <w:name w:val="heading 1"/>
    <w:basedOn w:val="Normal"/>
    <w:next w:val="Normal"/>
    <w:link w:val="Ttulo1Car"/>
    <w:uiPriority w:val="9"/>
    <w:qFormat/>
    <w:rsid w:val="009C5C4C"/>
    <w:pPr>
      <w:keepNext/>
      <w:spacing w:before="240" w:after="60"/>
      <w:outlineLvl w:val="0"/>
    </w:pPr>
    <w:rPr>
      <w:rFonts w:asciiTheme="majorHAnsi" w:eastAsiaTheme="majorEastAsia" w:hAnsiTheme="majorHAnsi" w:cstheme="majorBidi"/>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01CB5"/>
    <w:pPr>
      <w:tabs>
        <w:tab w:val="center" w:pos="4419"/>
        <w:tab w:val="right" w:pos="8838"/>
      </w:tabs>
    </w:pPr>
  </w:style>
  <w:style w:type="character" w:customStyle="1" w:styleId="EncabezadoCar">
    <w:name w:val="Encabezado Car"/>
    <w:basedOn w:val="Fuentedeprrafopredeter"/>
    <w:link w:val="Encabezado"/>
    <w:uiPriority w:val="99"/>
    <w:semiHidden/>
    <w:rsid w:val="00D01CB5"/>
  </w:style>
  <w:style w:type="paragraph" w:styleId="Piedepgina">
    <w:name w:val="footer"/>
    <w:basedOn w:val="Normal"/>
    <w:link w:val="PiedepginaCar"/>
    <w:uiPriority w:val="99"/>
    <w:semiHidden/>
    <w:unhideWhenUsed/>
    <w:rsid w:val="00D01CB5"/>
    <w:pPr>
      <w:tabs>
        <w:tab w:val="center" w:pos="4419"/>
        <w:tab w:val="right" w:pos="8838"/>
      </w:tabs>
    </w:pPr>
  </w:style>
  <w:style w:type="character" w:customStyle="1" w:styleId="PiedepginaCar">
    <w:name w:val="Pie de página Car"/>
    <w:basedOn w:val="Fuentedeprrafopredeter"/>
    <w:link w:val="Piedepgina"/>
    <w:uiPriority w:val="99"/>
    <w:semiHidden/>
    <w:rsid w:val="00D01CB5"/>
  </w:style>
  <w:style w:type="paragraph" w:styleId="Textodeglobo">
    <w:name w:val="Balloon Text"/>
    <w:basedOn w:val="Normal"/>
    <w:link w:val="TextodegloboCar"/>
    <w:uiPriority w:val="99"/>
    <w:semiHidden/>
    <w:unhideWhenUsed/>
    <w:rsid w:val="00DD51F5"/>
    <w:rPr>
      <w:rFonts w:ascii="Tahoma" w:hAnsi="Tahoma" w:cs="Tahoma"/>
      <w:sz w:val="16"/>
      <w:szCs w:val="16"/>
    </w:rPr>
  </w:style>
  <w:style w:type="character" w:customStyle="1" w:styleId="TextodegloboCar">
    <w:name w:val="Texto de globo Car"/>
    <w:basedOn w:val="Fuentedeprrafopredeter"/>
    <w:link w:val="Textodeglobo"/>
    <w:uiPriority w:val="99"/>
    <w:semiHidden/>
    <w:rsid w:val="00DD51F5"/>
    <w:rPr>
      <w:rFonts w:ascii="Tahoma" w:hAnsi="Tahoma" w:cs="Tahoma"/>
      <w:sz w:val="16"/>
      <w:szCs w:val="16"/>
      <w:lang w:eastAsia="en-US"/>
    </w:rPr>
  </w:style>
  <w:style w:type="character" w:styleId="Hipervnculo">
    <w:name w:val="Hyperlink"/>
    <w:basedOn w:val="Fuentedeprrafopredeter"/>
    <w:uiPriority w:val="99"/>
    <w:unhideWhenUsed/>
    <w:rsid w:val="00DD51F5"/>
    <w:rPr>
      <w:color w:val="0000FF"/>
      <w:u w:val="single"/>
    </w:rPr>
  </w:style>
  <w:style w:type="paragraph" w:styleId="Textoindependiente">
    <w:name w:val="Body Text"/>
    <w:basedOn w:val="Normal"/>
    <w:link w:val="TextoindependienteCar"/>
    <w:rsid w:val="00AA2A8F"/>
    <w:pPr>
      <w:spacing w:after="120"/>
    </w:pPr>
    <w:rPr>
      <w:lang w:val="es-ES" w:eastAsia="es-ES"/>
    </w:rPr>
  </w:style>
  <w:style w:type="character" w:customStyle="1" w:styleId="TextoindependienteCar">
    <w:name w:val="Texto independiente Car"/>
    <w:basedOn w:val="Fuentedeprrafopredeter"/>
    <w:link w:val="Textoindependiente"/>
    <w:rsid w:val="00AA2A8F"/>
    <w:rPr>
      <w:rFonts w:ascii="Times New Roman" w:eastAsia="Times New Roman" w:hAnsi="Times New Roman"/>
      <w:sz w:val="24"/>
      <w:szCs w:val="24"/>
      <w:lang w:val="es-ES" w:eastAsia="es-ES"/>
    </w:rPr>
  </w:style>
  <w:style w:type="character" w:customStyle="1" w:styleId="Ttulo1Car">
    <w:name w:val="Título 1 Car"/>
    <w:basedOn w:val="Fuentedeprrafopredeter"/>
    <w:link w:val="Ttulo1"/>
    <w:uiPriority w:val="9"/>
    <w:rsid w:val="009C5C4C"/>
    <w:rPr>
      <w:rFonts w:asciiTheme="majorHAnsi" w:eastAsiaTheme="majorEastAsia" w:hAnsiTheme="majorHAnsi" w:cstheme="majorBidi"/>
      <w:b/>
      <w:bCs/>
      <w:kern w:val="32"/>
      <w:sz w:val="32"/>
      <w:szCs w:val="32"/>
    </w:rPr>
  </w:style>
  <w:style w:type="paragraph" w:styleId="Prrafodelista">
    <w:name w:val="List Paragraph"/>
    <w:basedOn w:val="Normal"/>
    <w:uiPriority w:val="34"/>
    <w:qFormat/>
    <w:rsid w:val="00772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14175">
      <w:bodyDiv w:val="1"/>
      <w:marLeft w:val="0"/>
      <w:marRight w:val="0"/>
      <w:marTop w:val="0"/>
      <w:marBottom w:val="0"/>
      <w:divBdr>
        <w:top w:val="none" w:sz="0" w:space="0" w:color="auto"/>
        <w:left w:val="none" w:sz="0" w:space="0" w:color="auto"/>
        <w:bottom w:val="none" w:sz="0" w:space="0" w:color="auto"/>
        <w:right w:val="none" w:sz="0" w:space="0" w:color="auto"/>
      </w:divBdr>
      <w:divsChild>
        <w:div w:id="766999543">
          <w:marLeft w:val="0"/>
          <w:marRight w:val="0"/>
          <w:marTop w:val="0"/>
          <w:marBottom w:val="0"/>
          <w:divBdr>
            <w:top w:val="none" w:sz="0" w:space="0" w:color="auto"/>
            <w:left w:val="none" w:sz="0" w:space="0" w:color="auto"/>
            <w:bottom w:val="none" w:sz="0" w:space="0" w:color="auto"/>
            <w:right w:val="none" w:sz="0" w:space="0" w:color="auto"/>
          </w:divBdr>
        </w:div>
        <w:div w:id="1851289678">
          <w:marLeft w:val="0"/>
          <w:marRight w:val="0"/>
          <w:marTop w:val="0"/>
          <w:marBottom w:val="0"/>
          <w:divBdr>
            <w:top w:val="none" w:sz="0" w:space="0" w:color="auto"/>
            <w:left w:val="none" w:sz="0" w:space="0" w:color="auto"/>
            <w:bottom w:val="none" w:sz="0" w:space="0" w:color="auto"/>
            <w:right w:val="none" w:sz="0" w:space="0" w:color="auto"/>
          </w:divBdr>
        </w:div>
        <w:div w:id="217594123">
          <w:marLeft w:val="0"/>
          <w:marRight w:val="0"/>
          <w:marTop w:val="0"/>
          <w:marBottom w:val="0"/>
          <w:divBdr>
            <w:top w:val="none" w:sz="0" w:space="0" w:color="auto"/>
            <w:left w:val="none" w:sz="0" w:space="0" w:color="auto"/>
            <w:bottom w:val="none" w:sz="0" w:space="0" w:color="auto"/>
            <w:right w:val="none" w:sz="0" w:space="0" w:color="auto"/>
          </w:divBdr>
          <w:divsChild>
            <w:div w:id="20465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44402">
      <w:bodyDiv w:val="1"/>
      <w:marLeft w:val="0"/>
      <w:marRight w:val="0"/>
      <w:marTop w:val="0"/>
      <w:marBottom w:val="0"/>
      <w:divBdr>
        <w:top w:val="none" w:sz="0" w:space="0" w:color="auto"/>
        <w:left w:val="none" w:sz="0" w:space="0" w:color="auto"/>
        <w:bottom w:val="none" w:sz="0" w:space="0" w:color="auto"/>
        <w:right w:val="none" w:sz="0" w:space="0" w:color="auto"/>
      </w:divBdr>
    </w:div>
    <w:div w:id="1742169733">
      <w:bodyDiv w:val="1"/>
      <w:marLeft w:val="0"/>
      <w:marRight w:val="0"/>
      <w:marTop w:val="0"/>
      <w:marBottom w:val="0"/>
      <w:divBdr>
        <w:top w:val="none" w:sz="0" w:space="0" w:color="auto"/>
        <w:left w:val="none" w:sz="0" w:space="0" w:color="auto"/>
        <w:bottom w:val="none" w:sz="0" w:space="0" w:color="auto"/>
        <w:right w:val="none" w:sz="0" w:space="0" w:color="auto"/>
      </w:divBdr>
      <w:divsChild>
        <w:div w:id="64912654">
          <w:marLeft w:val="0"/>
          <w:marRight w:val="0"/>
          <w:marTop w:val="0"/>
          <w:marBottom w:val="0"/>
          <w:divBdr>
            <w:top w:val="none" w:sz="0" w:space="0" w:color="auto"/>
            <w:left w:val="none" w:sz="0" w:space="0" w:color="auto"/>
            <w:bottom w:val="none" w:sz="0" w:space="0" w:color="auto"/>
            <w:right w:val="none" w:sz="0" w:space="0" w:color="auto"/>
          </w:divBdr>
        </w:div>
        <w:div w:id="147092114">
          <w:marLeft w:val="0"/>
          <w:marRight w:val="0"/>
          <w:marTop w:val="0"/>
          <w:marBottom w:val="0"/>
          <w:divBdr>
            <w:top w:val="none" w:sz="0" w:space="0" w:color="auto"/>
            <w:left w:val="none" w:sz="0" w:space="0" w:color="auto"/>
            <w:bottom w:val="none" w:sz="0" w:space="0" w:color="auto"/>
            <w:right w:val="none" w:sz="0" w:space="0" w:color="auto"/>
          </w:divBdr>
        </w:div>
        <w:div w:id="728502446">
          <w:marLeft w:val="0"/>
          <w:marRight w:val="0"/>
          <w:marTop w:val="0"/>
          <w:marBottom w:val="0"/>
          <w:divBdr>
            <w:top w:val="none" w:sz="0" w:space="0" w:color="auto"/>
            <w:left w:val="none" w:sz="0" w:space="0" w:color="auto"/>
            <w:bottom w:val="none" w:sz="0" w:space="0" w:color="auto"/>
            <w:right w:val="none" w:sz="0" w:space="0" w:color="auto"/>
          </w:divBdr>
        </w:div>
        <w:div w:id="852374759">
          <w:marLeft w:val="0"/>
          <w:marRight w:val="0"/>
          <w:marTop w:val="0"/>
          <w:marBottom w:val="0"/>
          <w:divBdr>
            <w:top w:val="none" w:sz="0" w:space="0" w:color="auto"/>
            <w:left w:val="none" w:sz="0" w:space="0" w:color="auto"/>
            <w:bottom w:val="none" w:sz="0" w:space="0" w:color="auto"/>
            <w:right w:val="none" w:sz="0" w:space="0" w:color="auto"/>
          </w:divBdr>
        </w:div>
        <w:div w:id="1130778856">
          <w:marLeft w:val="0"/>
          <w:marRight w:val="0"/>
          <w:marTop w:val="0"/>
          <w:marBottom w:val="0"/>
          <w:divBdr>
            <w:top w:val="none" w:sz="0" w:space="0" w:color="auto"/>
            <w:left w:val="none" w:sz="0" w:space="0" w:color="auto"/>
            <w:bottom w:val="none" w:sz="0" w:space="0" w:color="auto"/>
            <w:right w:val="none" w:sz="0" w:space="0" w:color="auto"/>
          </w:divBdr>
        </w:div>
        <w:div w:id="1567951201">
          <w:marLeft w:val="0"/>
          <w:marRight w:val="0"/>
          <w:marTop w:val="0"/>
          <w:marBottom w:val="0"/>
          <w:divBdr>
            <w:top w:val="none" w:sz="0" w:space="0" w:color="auto"/>
            <w:left w:val="none" w:sz="0" w:space="0" w:color="auto"/>
            <w:bottom w:val="none" w:sz="0" w:space="0" w:color="auto"/>
            <w:right w:val="none" w:sz="0" w:space="0" w:color="auto"/>
          </w:divBdr>
        </w:div>
        <w:div w:id="1639722874">
          <w:marLeft w:val="0"/>
          <w:marRight w:val="0"/>
          <w:marTop w:val="0"/>
          <w:marBottom w:val="0"/>
          <w:divBdr>
            <w:top w:val="none" w:sz="0" w:space="0" w:color="auto"/>
            <w:left w:val="none" w:sz="0" w:space="0" w:color="auto"/>
            <w:bottom w:val="none" w:sz="0" w:space="0" w:color="auto"/>
            <w:right w:val="none" w:sz="0" w:space="0" w:color="auto"/>
          </w:divBdr>
        </w:div>
        <w:div w:id="1640527202">
          <w:marLeft w:val="0"/>
          <w:marRight w:val="0"/>
          <w:marTop w:val="0"/>
          <w:marBottom w:val="0"/>
          <w:divBdr>
            <w:top w:val="none" w:sz="0" w:space="0" w:color="auto"/>
            <w:left w:val="none" w:sz="0" w:space="0" w:color="auto"/>
            <w:bottom w:val="none" w:sz="0" w:space="0" w:color="auto"/>
            <w:right w:val="none" w:sz="0" w:space="0" w:color="auto"/>
          </w:divBdr>
        </w:div>
        <w:div w:id="1948847778">
          <w:marLeft w:val="0"/>
          <w:marRight w:val="0"/>
          <w:marTop w:val="0"/>
          <w:marBottom w:val="0"/>
          <w:divBdr>
            <w:top w:val="none" w:sz="0" w:space="0" w:color="auto"/>
            <w:left w:val="none" w:sz="0" w:space="0" w:color="auto"/>
            <w:bottom w:val="none" w:sz="0" w:space="0" w:color="auto"/>
            <w:right w:val="none" w:sz="0" w:space="0" w:color="auto"/>
          </w:divBdr>
        </w:div>
        <w:div w:id="1978490001">
          <w:marLeft w:val="0"/>
          <w:marRight w:val="0"/>
          <w:marTop w:val="0"/>
          <w:marBottom w:val="0"/>
          <w:divBdr>
            <w:top w:val="none" w:sz="0" w:space="0" w:color="auto"/>
            <w:left w:val="none" w:sz="0" w:space="0" w:color="auto"/>
            <w:bottom w:val="none" w:sz="0" w:space="0" w:color="auto"/>
            <w:right w:val="none" w:sz="0" w:space="0" w:color="auto"/>
          </w:divBdr>
        </w:div>
        <w:div w:id="2129080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430</Words>
  <Characters>2368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CHIDALGOR</cp:lastModifiedBy>
  <cp:revision>3</cp:revision>
  <cp:lastPrinted>2017-01-14T13:40:00Z</cp:lastPrinted>
  <dcterms:created xsi:type="dcterms:W3CDTF">2017-03-15T20:26:00Z</dcterms:created>
  <dcterms:modified xsi:type="dcterms:W3CDTF">2017-03-15T21:06:00Z</dcterms:modified>
</cp:coreProperties>
</file>