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9493B">
        <w:rPr>
          <w:rFonts w:ascii="Arial" w:hAnsi="Arial" w:cs="Arial"/>
          <w:bCs/>
        </w:rPr>
        <w:t>0</w:t>
      </w:r>
      <w:r w:rsidR="009D503D">
        <w:rPr>
          <w:rFonts w:ascii="Arial" w:hAnsi="Arial" w:cs="Arial"/>
          <w:bCs/>
        </w:rPr>
        <w:t>9</w:t>
      </w:r>
      <w:r w:rsidR="00D9770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de </w:t>
      </w:r>
      <w:r w:rsidR="00D9770A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9D503D">
        <w:rPr>
          <w:rFonts w:ascii="Arial" w:hAnsi="Arial" w:cs="Arial"/>
          <w:bCs/>
        </w:rPr>
        <w:t>E-2017-082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9D503D">
        <w:rPr>
          <w:rFonts w:ascii="Arial" w:hAnsi="Arial" w:cs="Arial"/>
          <w:lang w:val="es-ES_tradnl" w:eastAsia="es-ES"/>
        </w:rPr>
        <w:t>es</w:t>
      </w:r>
    </w:p>
    <w:p w:rsidR="00CA3368" w:rsidRDefault="009D503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OLGA LUCÍA ACOSTA CANTOR</w:t>
      </w:r>
    </w:p>
    <w:p w:rsidR="004B67A2" w:rsidRDefault="002B1FA8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Soacha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1199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9D503D" w:rsidRDefault="009D503D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D503D" w:rsidRDefault="009D503D" w:rsidP="009D503D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ALBERTO ZAPATA LINDARTE</w:t>
      </w:r>
    </w:p>
    <w:p w:rsidR="009D503D" w:rsidRDefault="009D503D" w:rsidP="009D503D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Soacha</w:t>
      </w:r>
    </w:p>
    <w:p w:rsidR="009D503D" w:rsidRDefault="009D503D" w:rsidP="009D503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2B1FA8" w:rsidRDefault="009D503D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1199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CF35A8" w:rsidRPr="005B7CBF" w:rsidRDefault="00CF35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9770A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B1FA8" w:rsidRDefault="002B1FA8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CF35A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 w:rsidR="002B1FA8">
        <w:rPr>
          <w:rFonts w:ascii="Arial" w:hAnsi="Arial" w:cs="Arial"/>
        </w:rPr>
        <w:t xml:space="preserve"> que aplica a</w:t>
      </w:r>
      <w:r>
        <w:rPr>
          <w:rFonts w:ascii="Arial" w:hAnsi="Arial" w:cs="Arial"/>
        </w:rPr>
        <w:t>l</w:t>
      </w:r>
      <w:r w:rsidR="002B1FA8">
        <w:rPr>
          <w:rFonts w:ascii="Arial" w:hAnsi="Arial" w:cs="Arial"/>
        </w:rPr>
        <w:t xml:space="preserve"> </w:t>
      </w:r>
      <w:r w:rsidR="005D49DC">
        <w:rPr>
          <w:rFonts w:ascii="Arial" w:hAnsi="Arial" w:cs="Arial"/>
        </w:rPr>
        <w:t>convenio</w:t>
      </w:r>
      <w:r w:rsidR="005F08EE">
        <w:rPr>
          <w:rFonts w:ascii="Arial" w:hAnsi="Arial" w:cs="Arial"/>
        </w:rPr>
        <w:t xml:space="preserve"> </w:t>
      </w:r>
      <w:r w:rsidR="002B1FA8">
        <w:rPr>
          <w:rFonts w:ascii="Arial" w:hAnsi="Arial" w:cs="Arial"/>
        </w:rPr>
        <w:t xml:space="preserve">1199, el operador debe </w:t>
      </w:r>
      <w:r w:rsidRPr="00893518">
        <w:rPr>
          <w:rFonts w:ascii="Arial" w:hAnsi="Arial" w:cs="Arial"/>
        </w:rPr>
        <w:t>incluir en la presentación el desarrollo de las actividades</w:t>
      </w:r>
      <w:r w:rsidR="00B34F4A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E56AB9" w:rsidRDefault="00E56AB9" w:rsidP="00CF35A8">
      <w:pPr>
        <w:jc w:val="both"/>
        <w:rPr>
          <w:rFonts w:ascii="Arial" w:hAnsi="Arial" w:cs="Arial"/>
        </w:rPr>
      </w:pPr>
    </w:p>
    <w:p w:rsidR="00E56AB9" w:rsidRDefault="00E56AB9" w:rsidP="00CF35A8">
      <w:pPr>
        <w:jc w:val="both"/>
        <w:rPr>
          <w:rFonts w:ascii="Arial" w:hAnsi="Arial" w:cs="Arial"/>
        </w:rPr>
      </w:pPr>
    </w:p>
    <w:p w:rsidR="00E56AB9" w:rsidRDefault="00E56AB9" w:rsidP="00CF35A8">
      <w:pPr>
        <w:jc w:val="both"/>
        <w:rPr>
          <w:rFonts w:ascii="Arial" w:hAnsi="Arial" w:cs="Arial"/>
        </w:rPr>
      </w:pPr>
    </w:p>
    <w:p w:rsidR="00E56AB9" w:rsidRDefault="00E56AB9" w:rsidP="00CF35A8">
      <w:pPr>
        <w:jc w:val="both"/>
        <w:rPr>
          <w:rFonts w:ascii="Arial" w:hAnsi="Arial" w:cs="Arial"/>
        </w:rPr>
      </w:pPr>
    </w:p>
    <w:p w:rsidR="00E56AB9" w:rsidRDefault="00E56AB9" w:rsidP="00CF35A8">
      <w:pPr>
        <w:jc w:val="both"/>
        <w:rPr>
          <w:rFonts w:ascii="Arial" w:hAnsi="Arial" w:cs="Arial"/>
        </w:rPr>
      </w:pPr>
    </w:p>
    <w:p w:rsidR="00E56AB9" w:rsidRPr="00893518" w:rsidRDefault="00E56AB9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A83F2DB" wp14:editId="3308C3DB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CF35A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CF35A8">
        <w:rPr>
          <w:rFonts w:ascii="Arial" w:hAnsi="Arial" w:cs="Arial"/>
          <w:sz w:val="23"/>
          <w:szCs w:val="23"/>
        </w:rPr>
        <w:t>Telebucaramanga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CF35A8">
        <w:rPr>
          <w:rFonts w:ascii="Arial" w:hAnsi="Arial" w:cs="Arial"/>
          <w:sz w:val="23"/>
          <w:szCs w:val="23"/>
        </w:rPr>
        <w:t>a.m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CF35A8" w:rsidRDefault="00CF35A8" w:rsidP="00CF35A8">
      <w:pPr>
        <w:pStyle w:val="Default"/>
        <w:rPr>
          <w:rFonts w:ascii="Arial" w:hAnsi="Arial" w:cs="Arial"/>
          <w:lang w:val="en-US"/>
        </w:rPr>
      </w:pPr>
      <w:r w:rsidRPr="00CF35A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CF35A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CF35A8">
        <w:rPr>
          <w:rFonts w:ascii="Arial" w:hAnsi="Arial" w:cs="Arial"/>
          <w:sz w:val="23"/>
          <w:szCs w:val="23"/>
          <w:lang w:val="en-US"/>
        </w:rPr>
        <w:t>)</w:t>
      </w: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893518" w:rsidRDefault="00CF35A8" w:rsidP="00CF35A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9770A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A650A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A7DE5" w:rsidRDefault="006141CA" w:rsidP="001A7DE5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  <w:bookmarkEnd w:id="0"/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57" w:rsidRDefault="00605557" w:rsidP="00BC6C77">
      <w:pPr>
        <w:spacing w:after="0" w:line="240" w:lineRule="auto"/>
      </w:pPr>
      <w:r>
        <w:separator/>
      </w:r>
    </w:p>
  </w:endnote>
  <w:endnote w:type="continuationSeparator" w:id="0">
    <w:p w:rsidR="00605557" w:rsidRDefault="00605557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57" w:rsidRDefault="00605557" w:rsidP="00BC6C77">
      <w:pPr>
        <w:spacing w:after="0" w:line="240" w:lineRule="auto"/>
      </w:pPr>
      <w:r>
        <w:separator/>
      </w:r>
    </w:p>
  </w:footnote>
  <w:footnote w:type="continuationSeparator" w:id="0">
    <w:p w:rsidR="00605557" w:rsidRDefault="00605557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E739C"/>
    <w:rsid w:val="001F7FA3"/>
    <w:rsid w:val="0028028D"/>
    <w:rsid w:val="002912B8"/>
    <w:rsid w:val="002B1C28"/>
    <w:rsid w:val="002B1FA8"/>
    <w:rsid w:val="00376738"/>
    <w:rsid w:val="00383F21"/>
    <w:rsid w:val="003A05D1"/>
    <w:rsid w:val="003E214C"/>
    <w:rsid w:val="00497968"/>
    <w:rsid w:val="004B67A2"/>
    <w:rsid w:val="004D0D60"/>
    <w:rsid w:val="004F7800"/>
    <w:rsid w:val="00510273"/>
    <w:rsid w:val="00516287"/>
    <w:rsid w:val="0054091D"/>
    <w:rsid w:val="005B7CBF"/>
    <w:rsid w:val="005D49DC"/>
    <w:rsid w:val="005E1D69"/>
    <w:rsid w:val="005F08EE"/>
    <w:rsid w:val="00605557"/>
    <w:rsid w:val="006141CA"/>
    <w:rsid w:val="00632F25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D0544"/>
    <w:rsid w:val="0093329F"/>
    <w:rsid w:val="00981554"/>
    <w:rsid w:val="009A17DF"/>
    <w:rsid w:val="009D503D"/>
    <w:rsid w:val="00A00C5D"/>
    <w:rsid w:val="00A10EBC"/>
    <w:rsid w:val="00A11D28"/>
    <w:rsid w:val="00A230B3"/>
    <w:rsid w:val="00A36407"/>
    <w:rsid w:val="00A4543E"/>
    <w:rsid w:val="00A650A1"/>
    <w:rsid w:val="00AB5F72"/>
    <w:rsid w:val="00AC3CE0"/>
    <w:rsid w:val="00AF033B"/>
    <w:rsid w:val="00AF6B59"/>
    <w:rsid w:val="00B34F4A"/>
    <w:rsid w:val="00BA6BB2"/>
    <w:rsid w:val="00BB3482"/>
    <w:rsid w:val="00BC6C77"/>
    <w:rsid w:val="00BE760E"/>
    <w:rsid w:val="00C1436B"/>
    <w:rsid w:val="00C36BC0"/>
    <w:rsid w:val="00C44BAA"/>
    <w:rsid w:val="00C80784"/>
    <w:rsid w:val="00CA3368"/>
    <w:rsid w:val="00CF35A8"/>
    <w:rsid w:val="00CF3BFD"/>
    <w:rsid w:val="00D35197"/>
    <w:rsid w:val="00D85A8D"/>
    <w:rsid w:val="00D87364"/>
    <w:rsid w:val="00D9770A"/>
    <w:rsid w:val="00DF304A"/>
    <w:rsid w:val="00E0456E"/>
    <w:rsid w:val="00E14600"/>
    <w:rsid w:val="00E33B65"/>
    <w:rsid w:val="00E56AB9"/>
    <w:rsid w:val="00E856C9"/>
    <w:rsid w:val="00EB065B"/>
    <w:rsid w:val="00ED5676"/>
    <w:rsid w:val="00F27224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20</cp:revision>
  <cp:lastPrinted>2017-02-09T21:36:00Z</cp:lastPrinted>
  <dcterms:created xsi:type="dcterms:W3CDTF">2017-02-06T21:38:00Z</dcterms:created>
  <dcterms:modified xsi:type="dcterms:W3CDTF">2017-02-09T21:37:00Z</dcterms:modified>
</cp:coreProperties>
</file>