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8061C7" w14:textId="77777777" w:rsidR="00A45059" w:rsidRPr="00A45059" w:rsidRDefault="00A45059" w:rsidP="00A45059">
      <w:pPr>
        <w:rPr>
          <w:b/>
          <w:bCs/>
          <w:lang w:val="es-ES"/>
        </w:rPr>
      </w:pPr>
      <w:r w:rsidRPr="00A45059">
        <w:rPr>
          <w:b/>
          <w:bCs/>
          <w:lang w:val="es-ES"/>
        </w:rPr>
        <w:t>Informe ejecutivo – Análisis de cuentas por cobrar</w:t>
      </w:r>
    </w:p>
    <w:p w14:paraId="6F33CF47" w14:textId="77777777" w:rsidR="00A45059" w:rsidRPr="00A45059" w:rsidRDefault="00A45059" w:rsidP="00A45059">
      <w:pPr>
        <w:rPr>
          <w:lang w:val="es-ES"/>
        </w:rPr>
      </w:pPr>
      <w:r w:rsidRPr="00A45059">
        <w:rPr>
          <w:b/>
          <w:bCs/>
          <w:lang w:val="es-ES"/>
        </w:rPr>
        <w:t>Carlos Cárdenas</w:t>
      </w:r>
      <w:r w:rsidRPr="00A45059">
        <w:rPr>
          <w:lang w:val="es-ES"/>
        </w:rPr>
        <w:br/>
      </w:r>
      <w:r w:rsidRPr="00A45059">
        <w:rPr>
          <w:b/>
          <w:bCs/>
          <w:lang w:val="es-ES"/>
        </w:rPr>
        <w:t>Prueba técnica – Analista 2</w:t>
      </w:r>
    </w:p>
    <w:p w14:paraId="31A3DBA4" w14:textId="77777777" w:rsidR="00A45059" w:rsidRPr="00A45059" w:rsidRDefault="00A45059" w:rsidP="00A45059">
      <w:pPr>
        <w:rPr>
          <w:b/>
          <w:bCs/>
          <w:lang w:val="es-ES"/>
        </w:rPr>
      </w:pPr>
      <w:r w:rsidRPr="00A45059">
        <w:rPr>
          <w:b/>
          <w:bCs/>
          <w:lang w:val="es-ES"/>
        </w:rPr>
        <w:t>1. Problema y objetivo</w:t>
      </w:r>
    </w:p>
    <w:p w14:paraId="762DFE5D" w14:textId="77777777" w:rsidR="00A45059" w:rsidRPr="00A45059" w:rsidRDefault="00A45059" w:rsidP="00A45059">
      <w:pPr>
        <w:rPr>
          <w:lang w:val="es-ES"/>
        </w:rPr>
      </w:pPr>
      <w:r w:rsidRPr="00A45059">
        <w:rPr>
          <w:lang w:val="es-ES"/>
        </w:rPr>
        <w:t>La base contiene 21.739 cuentas por cobrar, correspondientes a 800 cuentas, con información sobre su creación, tipo de transacción, valor original, pagos realizados y saldo pendiente.</w:t>
      </w:r>
    </w:p>
    <w:p w14:paraId="5D84232E" w14:textId="77777777" w:rsidR="00A45059" w:rsidRPr="00A45059" w:rsidRDefault="00A45059" w:rsidP="00A45059">
      <w:pPr>
        <w:rPr>
          <w:lang w:val="es-ES"/>
        </w:rPr>
      </w:pPr>
      <w:r w:rsidRPr="00A45059">
        <w:rPr>
          <w:lang w:val="es-ES"/>
        </w:rPr>
        <w:t>El objetivo fue estimar la probabilidad de que cada obligación alcanzara el pago total durante los primeros 120 días desde su creación. Esta probabilidad se combinó con el valor de la obligación para identificar los casos con mayor riesgo y exposición económica.</w:t>
      </w:r>
    </w:p>
    <w:p w14:paraId="31467D0B" w14:textId="77777777" w:rsidR="00A45059" w:rsidRPr="00A45059" w:rsidRDefault="00A45059" w:rsidP="00A45059">
      <w:pPr>
        <w:rPr>
          <w:lang w:val="es-ES"/>
        </w:rPr>
      </w:pPr>
      <w:r w:rsidRPr="00A45059">
        <w:rPr>
          <w:lang w:val="es-ES"/>
        </w:rPr>
        <w:t>La solución busca apoyar la priorización de la gestión de cobro. No pretende reemplazar el criterio del equipo operativo ni tomar decisiones automáticas sobre los clientes.</w:t>
      </w:r>
    </w:p>
    <w:p w14:paraId="7837E6F5" w14:textId="77777777" w:rsidR="00A45059" w:rsidRPr="00A45059" w:rsidRDefault="00A45059" w:rsidP="00A45059">
      <w:pPr>
        <w:rPr>
          <w:b/>
          <w:bCs/>
          <w:lang w:val="es-ES"/>
        </w:rPr>
      </w:pPr>
      <w:r w:rsidRPr="00A45059">
        <w:rPr>
          <w:b/>
          <w:bCs/>
          <w:lang w:val="es-ES"/>
        </w:rPr>
        <w:t>2. Metodología</w:t>
      </w:r>
    </w:p>
    <w:p w14:paraId="13A44EA6" w14:textId="77777777" w:rsidR="00A45059" w:rsidRPr="00A45059" w:rsidRDefault="00A45059" w:rsidP="00A45059">
      <w:pPr>
        <w:rPr>
          <w:lang w:val="es-ES"/>
        </w:rPr>
      </w:pPr>
      <w:r w:rsidRPr="00A45059">
        <w:rPr>
          <w:lang w:val="es-ES"/>
        </w:rPr>
        <w:t>Primero se revisó la calidad de la fuente, incluyendo valores nulos, duplicados, montos negativos y consistencia entre el valor original, el valor pagado y el saldo pendiente.</w:t>
      </w:r>
    </w:p>
    <w:p w14:paraId="216A03B5" w14:textId="77777777" w:rsidR="00A45059" w:rsidRPr="00A45059" w:rsidRDefault="00A45059" w:rsidP="00A45059">
      <w:pPr>
        <w:rPr>
          <w:lang w:val="es-ES"/>
        </w:rPr>
      </w:pPr>
      <w:r w:rsidRPr="00A45059">
        <w:rPr>
          <w:lang w:val="es-ES"/>
        </w:rPr>
        <w:t>La información se consolidó en una sábana analítica con una fila por cuenta por cobrar. El objetivo se definió como pago total dentro de 120 días. Se excluyeron 463 obligaciones no pagadas que todavía no habían completado ese periodo de observación.</w:t>
      </w:r>
    </w:p>
    <w:p w14:paraId="7B1D0294" w14:textId="77777777" w:rsidR="00A45059" w:rsidRPr="00A45059" w:rsidRDefault="00A45059" w:rsidP="00A45059">
      <w:pPr>
        <w:rPr>
          <w:lang w:val="es-ES"/>
        </w:rPr>
      </w:pPr>
      <w:r w:rsidRPr="00A45059">
        <w:rPr>
          <w:lang w:val="es-ES"/>
        </w:rPr>
        <w:t>Para evitar fuga de información, el modelo utilizó únicamente variables conocidas al momento de crear la obligación, como producto, código de transacción, valor original y fecha de creación. No se utilizaron el saldo, el valor pagado, la fecha de pago ni el estado final.</w:t>
      </w:r>
    </w:p>
    <w:p w14:paraId="22F8E114" w14:textId="77777777" w:rsidR="00A45059" w:rsidRPr="00A45059" w:rsidRDefault="00A45059" w:rsidP="00A45059">
      <w:pPr>
        <w:rPr>
          <w:lang w:val="es-ES"/>
        </w:rPr>
      </w:pPr>
      <w:r w:rsidRPr="00A45059">
        <w:rPr>
          <w:lang w:val="es-ES"/>
        </w:rPr>
        <w:t>Se compararon tres alternativas: una probabilidad general como referencia, una regresión logística y un bosque aleatorio. La validación se realizó separando las cuentas entre entrenamiento y evaluación para evitar que obligaciones de una misma cuenta aparecieran en ambos grupos.</w:t>
      </w:r>
    </w:p>
    <w:p w14:paraId="40DF72BD" w14:textId="77777777" w:rsidR="00A45059" w:rsidRPr="00A45059" w:rsidRDefault="00A45059" w:rsidP="00A45059">
      <w:pPr>
        <w:rPr>
          <w:b/>
          <w:bCs/>
          <w:lang w:val="es-ES"/>
        </w:rPr>
      </w:pPr>
      <w:r w:rsidRPr="00A45059">
        <w:rPr>
          <w:b/>
          <w:bCs/>
          <w:lang w:val="es-ES"/>
        </w:rPr>
        <w:t>3. Resultados y recomendaciones</w:t>
      </w:r>
    </w:p>
    <w:p w14:paraId="57419885" w14:textId="77777777" w:rsidR="00A45059" w:rsidRDefault="00A45059" w:rsidP="00A45059">
      <w:pPr>
        <w:rPr>
          <w:lang w:val="es-ES"/>
        </w:rPr>
      </w:pPr>
      <w:r w:rsidRPr="00A45059">
        <w:rPr>
          <w:lang w:val="es-ES"/>
        </w:rPr>
        <w:t>La recuperación histórica de la fuente fue de 84,33 %, con un valor original de $141,56 millones, un valor recuperado de $119,37 millones y un saldo pendiente de $22,19 millones.</w:t>
      </w:r>
    </w:p>
    <w:p w14:paraId="7345A179" w14:textId="77777777" w:rsidR="005C4014" w:rsidRPr="00A45059" w:rsidRDefault="005C4014" w:rsidP="00A45059">
      <w:pPr>
        <w:rPr>
          <w:lang w:val="es-ES"/>
        </w:rPr>
      </w:pPr>
    </w:p>
    <w:tbl>
      <w:tblPr>
        <w:tblStyle w:val="Tablanormal2"/>
        <w:tblW w:w="0" w:type="auto"/>
        <w:tblLook w:val="06A0" w:firstRow="1" w:lastRow="0" w:firstColumn="1" w:lastColumn="0" w:noHBand="1" w:noVBand="1"/>
      </w:tblPr>
      <w:tblGrid>
        <w:gridCol w:w="1911"/>
        <w:gridCol w:w="1060"/>
        <w:gridCol w:w="1829"/>
        <w:gridCol w:w="1210"/>
      </w:tblGrid>
      <w:tr w:rsidR="00A45059" w:rsidRPr="00A45059" w14:paraId="3D6357FB" w14:textId="77777777" w:rsidTr="005936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851AAF" w14:textId="77777777" w:rsidR="00A45059" w:rsidRPr="00A45059" w:rsidRDefault="00A45059" w:rsidP="00A45059">
            <w:pPr>
              <w:spacing w:after="160" w:line="259" w:lineRule="auto"/>
              <w:rPr>
                <w:lang w:val="es-ES"/>
              </w:rPr>
            </w:pPr>
            <w:r w:rsidRPr="00A45059">
              <w:rPr>
                <w:lang w:val="es-ES"/>
              </w:rPr>
              <w:t>Modelo</w:t>
            </w:r>
          </w:p>
        </w:tc>
        <w:tc>
          <w:tcPr>
            <w:tcW w:w="0" w:type="auto"/>
            <w:hideMark/>
          </w:tcPr>
          <w:p w14:paraId="2F5D626C" w14:textId="77777777" w:rsidR="00A45059" w:rsidRPr="00A45059" w:rsidRDefault="00A45059" w:rsidP="00A45059">
            <w:pPr>
              <w:spacing w:after="160" w:line="259" w:lineRule="auto"/>
              <w:cnfStyle w:val="100000000000" w:firstRow="1" w:lastRow="0" w:firstColumn="0" w:lastColumn="0" w:oddVBand="0" w:evenVBand="0" w:oddHBand="0" w:evenHBand="0" w:firstRowFirstColumn="0" w:firstRowLastColumn="0" w:lastRowFirstColumn="0" w:lastRowLastColumn="0"/>
              <w:rPr>
                <w:lang w:val="es-ES"/>
              </w:rPr>
            </w:pPr>
            <w:r w:rsidRPr="00A45059">
              <w:rPr>
                <w:lang w:val="es-ES"/>
              </w:rPr>
              <w:t>ROC-AUC</w:t>
            </w:r>
          </w:p>
        </w:tc>
        <w:tc>
          <w:tcPr>
            <w:tcW w:w="0" w:type="auto"/>
            <w:hideMark/>
          </w:tcPr>
          <w:p w14:paraId="2C95A194" w14:textId="77777777" w:rsidR="00A45059" w:rsidRPr="00A45059" w:rsidRDefault="00A45059" w:rsidP="00A45059">
            <w:pPr>
              <w:spacing w:after="160" w:line="259" w:lineRule="auto"/>
              <w:cnfStyle w:val="100000000000" w:firstRow="1" w:lastRow="0" w:firstColumn="0" w:lastColumn="0" w:oddVBand="0" w:evenVBand="0" w:oddHBand="0" w:evenHBand="0" w:firstRowFirstColumn="0" w:firstRowLastColumn="0" w:lastRowFirstColumn="0" w:lastRowLastColumn="0"/>
              <w:rPr>
                <w:lang w:val="es-ES"/>
              </w:rPr>
            </w:pPr>
            <w:proofErr w:type="spellStart"/>
            <w:r w:rsidRPr="00A45059">
              <w:rPr>
                <w:lang w:val="es-ES"/>
              </w:rPr>
              <w:t>Average</w:t>
            </w:r>
            <w:proofErr w:type="spellEnd"/>
            <w:r w:rsidRPr="00A45059">
              <w:rPr>
                <w:lang w:val="es-ES"/>
              </w:rPr>
              <w:t xml:space="preserve"> </w:t>
            </w:r>
            <w:proofErr w:type="spellStart"/>
            <w:r w:rsidRPr="00A45059">
              <w:rPr>
                <w:lang w:val="es-ES"/>
              </w:rPr>
              <w:t>Precision</w:t>
            </w:r>
            <w:proofErr w:type="spellEnd"/>
          </w:p>
        </w:tc>
        <w:tc>
          <w:tcPr>
            <w:tcW w:w="0" w:type="auto"/>
            <w:hideMark/>
          </w:tcPr>
          <w:p w14:paraId="0364642A" w14:textId="77777777" w:rsidR="00A45059" w:rsidRPr="00A45059" w:rsidRDefault="00A45059" w:rsidP="00A45059">
            <w:pPr>
              <w:spacing w:after="160" w:line="259" w:lineRule="auto"/>
              <w:cnfStyle w:val="100000000000" w:firstRow="1" w:lastRow="0" w:firstColumn="0" w:lastColumn="0" w:oddVBand="0" w:evenVBand="0" w:oddHBand="0" w:evenHBand="0" w:firstRowFirstColumn="0" w:firstRowLastColumn="0" w:lastRowFirstColumn="0" w:lastRowLastColumn="0"/>
              <w:rPr>
                <w:lang w:val="es-ES"/>
              </w:rPr>
            </w:pPr>
            <w:proofErr w:type="spellStart"/>
            <w:r w:rsidRPr="00A45059">
              <w:rPr>
                <w:lang w:val="es-ES"/>
              </w:rPr>
              <w:t>Brier</w:t>
            </w:r>
            <w:proofErr w:type="spellEnd"/>
            <w:r w:rsidRPr="00A45059">
              <w:rPr>
                <w:lang w:val="es-ES"/>
              </w:rPr>
              <w:t xml:space="preserve"> Score</w:t>
            </w:r>
          </w:p>
        </w:tc>
      </w:tr>
      <w:tr w:rsidR="00A45059" w:rsidRPr="00A45059" w14:paraId="66CFE880" w14:textId="77777777" w:rsidTr="00593667">
        <w:tc>
          <w:tcPr>
            <w:cnfStyle w:val="001000000000" w:firstRow="0" w:lastRow="0" w:firstColumn="1" w:lastColumn="0" w:oddVBand="0" w:evenVBand="0" w:oddHBand="0" w:evenHBand="0" w:firstRowFirstColumn="0" w:firstRowLastColumn="0" w:lastRowFirstColumn="0" w:lastRowLastColumn="0"/>
            <w:tcW w:w="0" w:type="auto"/>
            <w:hideMark/>
          </w:tcPr>
          <w:p w14:paraId="2732FEEB" w14:textId="77777777" w:rsidR="00A45059" w:rsidRPr="00A45059" w:rsidRDefault="00A45059" w:rsidP="00A45059">
            <w:pPr>
              <w:spacing w:after="160" w:line="259" w:lineRule="auto"/>
              <w:rPr>
                <w:lang w:val="es-ES"/>
              </w:rPr>
            </w:pPr>
            <w:r w:rsidRPr="00A45059">
              <w:rPr>
                <w:lang w:val="es-ES"/>
              </w:rPr>
              <w:t>Regresión logística</w:t>
            </w:r>
          </w:p>
        </w:tc>
        <w:tc>
          <w:tcPr>
            <w:tcW w:w="0" w:type="auto"/>
            <w:hideMark/>
          </w:tcPr>
          <w:p w14:paraId="6A6A42D4" w14:textId="77777777" w:rsidR="00A45059" w:rsidRPr="00A45059" w:rsidRDefault="00A45059" w:rsidP="00A45059">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A45059">
              <w:rPr>
                <w:lang w:val="es-ES"/>
              </w:rPr>
              <w:t>0,703</w:t>
            </w:r>
          </w:p>
        </w:tc>
        <w:tc>
          <w:tcPr>
            <w:tcW w:w="0" w:type="auto"/>
            <w:hideMark/>
          </w:tcPr>
          <w:p w14:paraId="0992A778" w14:textId="77777777" w:rsidR="00A45059" w:rsidRPr="00A45059" w:rsidRDefault="00A45059" w:rsidP="00A45059">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A45059">
              <w:rPr>
                <w:lang w:val="es-ES"/>
              </w:rPr>
              <w:t>0,719</w:t>
            </w:r>
          </w:p>
        </w:tc>
        <w:tc>
          <w:tcPr>
            <w:tcW w:w="0" w:type="auto"/>
            <w:hideMark/>
          </w:tcPr>
          <w:p w14:paraId="5A2F6203" w14:textId="77777777" w:rsidR="00A45059" w:rsidRPr="00A45059" w:rsidRDefault="00A45059" w:rsidP="00A45059">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A45059">
              <w:rPr>
                <w:lang w:val="es-ES"/>
              </w:rPr>
              <w:t>0,2180</w:t>
            </w:r>
          </w:p>
        </w:tc>
      </w:tr>
      <w:tr w:rsidR="00A45059" w:rsidRPr="00A45059" w14:paraId="0D930461" w14:textId="77777777" w:rsidTr="00593667">
        <w:tc>
          <w:tcPr>
            <w:cnfStyle w:val="001000000000" w:firstRow="0" w:lastRow="0" w:firstColumn="1" w:lastColumn="0" w:oddVBand="0" w:evenVBand="0" w:oddHBand="0" w:evenHBand="0" w:firstRowFirstColumn="0" w:firstRowLastColumn="0" w:lastRowFirstColumn="0" w:lastRowLastColumn="0"/>
            <w:tcW w:w="0" w:type="auto"/>
            <w:hideMark/>
          </w:tcPr>
          <w:p w14:paraId="5117676B" w14:textId="77777777" w:rsidR="00A45059" w:rsidRPr="00A45059" w:rsidRDefault="00A45059" w:rsidP="00A45059">
            <w:pPr>
              <w:spacing w:after="160" w:line="259" w:lineRule="auto"/>
              <w:rPr>
                <w:lang w:val="es-ES"/>
              </w:rPr>
            </w:pPr>
            <w:r w:rsidRPr="00A45059">
              <w:rPr>
                <w:lang w:val="es-ES"/>
              </w:rPr>
              <w:t>Bosque aleatorio</w:t>
            </w:r>
          </w:p>
        </w:tc>
        <w:tc>
          <w:tcPr>
            <w:tcW w:w="0" w:type="auto"/>
            <w:hideMark/>
          </w:tcPr>
          <w:p w14:paraId="09E74373" w14:textId="77777777" w:rsidR="00A45059" w:rsidRPr="00A45059" w:rsidRDefault="00A45059" w:rsidP="00A45059">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A45059">
              <w:rPr>
                <w:lang w:val="es-ES"/>
              </w:rPr>
              <w:t>0,708</w:t>
            </w:r>
          </w:p>
        </w:tc>
        <w:tc>
          <w:tcPr>
            <w:tcW w:w="0" w:type="auto"/>
            <w:hideMark/>
          </w:tcPr>
          <w:p w14:paraId="08134283" w14:textId="77777777" w:rsidR="00A45059" w:rsidRPr="00A45059" w:rsidRDefault="00A45059" w:rsidP="00A45059">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A45059">
              <w:rPr>
                <w:lang w:val="es-ES"/>
              </w:rPr>
              <w:t>0,726</w:t>
            </w:r>
          </w:p>
        </w:tc>
        <w:tc>
          <w:tcPr>
            <w:tcW w:w="0" w:type="auto"/>
            <w:hideMark/>
          </w:tcPr>
          <w:p w14:paraId="65EB43C0" w14:textId="77777777" w:rsidR="00A45059" w:rsidRPr="00A45059" w:rsidRDefault="00A45059" w:rsidP="00A45059">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A45059">
              <w:rPr>
                <w:lang w:val="es-ES"/>
              </w:rPr>
              <w:t>0,2185</w:t>
            </w:r>
          </w:p>
        </w:tc>
      </w:tr>
    </w:tbl>
    <w:p w14:paraId="2618FF33" w14:textId="77777777" w:rsidR="005C4014" w:rsidRDefault="005C4014" w:rsidP="00A45059">
      <w:pPr>
        <w:rPr>
          <w:lang w:val="es-ES"/>
        </w:rPr>
      </w:pPr>
    </w:p>
    <w:p w14:paraId="5C1BB8BB" w14:textId="7802FFB7" w:rsidR="00A45059" w:rsidRPr="00A45059" w:rsidRDefault="00A45059" w:rsidP="00A45059">
      <w:pPr>
        <w:rPr>
          <w:lang w:val="es-ES"/>
        </w:rPr>
      </w:pPr>
      <w:r w:rsidRPr="00A45059">
        <w:rPr>
          <w:lang w:val="es-ES"/>
        </w:rPr>
        <w:t xml:space="preserve">Los dos modelos superaron la referencia inicial. Aunque el bosque aleatorio presentó una ventaja pequeña en capacidad de clasificación, la regresión logística tuvo un resultado similar, un </w:t>
      </w:r>
      <w:proofErr w:type="spellStart"/>
      <w:r w:rsidRPr="00A45059">
        <w:rPr>
          <w:lang w:val="es-ES"/>
        </w:rPr>
        <w:t>Brier</w:t>
      </w:r>
      <w:proofErr w:type="spellEnd"/>
      <w:r w:rsidRPr="00A45059">
        <w:rPr>
          <w:lang w:val="es-ES"/>
        </w:rPr>
        <w:t xml:space="preserve"> </w:t>
      </w:r>
      <w:r w:rsidRPr="00A45059">
        <w:rPr>
          <w:lang w:val="es-ES"/>
        </w:rPr>
        <w:lastRenderedPageBreak/>
        <w:t>Score ligeramente mejor y una interpretación más sencilla. Por esta razón se seleccionó como modelo final.</w:t>
      </w:r>
    </w:p>
    <w:p w14:paraId="2E8AC051" w14:textId="77777777" w:rsidR="00A45059" w:rsidRPr="00A45059" w:rsidRDefault="00A45059" w:rsidP="00A45059">
      <w:pPr>
        <w:rPr>
          <w:lang w:val="es-ES"/>
        </w:rPr>
      </w:pPr>
      <w:r w:rsidRPr="00A45059">
        <w:rPr>
          <w:lang w:val="es-ES"/>
        </w:rPr>
        <w:t>Las obligaciones se organizaron en cuatro segmentos. La proporción de pago observada aumentó de manera consistente desde 32,94 % en alto riesgo hasta 91,89 % en alta probabilidad de pago. El segmento de alto riesgo concentró 9.399 obligaciones y aproximadamente $44,64 millones de exposición esperada.</w:t>
      </w:r>
    </w:p>
    <w:p w14:paraId="1C00A9DC" w14:textId="77777777" w:rsidR="00A45059" w:rsidRPr="00A45059" w:rsidRDefault="00A45059" w:rsidP="00A45059">
      <w:pPr>
        <w:rPr>
          <w:lang w:val="es-ES"/>
        </w:rPr>
      </w:pPr>
      <w:r w:rsidRPr="00A45059">
        <w:rPr>
          <w:lang w:val="es-ES"/>
        </w:rPr>
        <w:t>También se identificaron diferencias entre códigos de transacción. Por ejemplo, el código 137 presentó una tasa de pago cercana al 36,47 % en 414 registros. Este resultado debe revisarse con el área de negocio antes de definir acciones, ya que el código puede representar condiciones operativas no incluidas en la fuente.</w:t>
      </w:r>
    </w:p>
    <w:p w14:paraId="60812CDE" w14:textId="77777777" w:rsidR="00A45059" w:rsidRPr="00A45059" w:rsidRDefault="00A45059" w:rsidP="00A45059">
      <w:pPr>
        <w:rPr>
          <w:lang w:val="es-ES"/>
        </w:rPr>
      </w:pPr>
      <w:r w:rsidRPr="00A45059">
        <w:rPr>
          <w:lang w:val="es-ES"/>
        </w:rPr>
        <w:t>Se recomienda:</w:t>
      </w:r>
    </w:p>
    <w:p w14:paraId="56A33995" w14:textId="77777777" w:rsidR="00A45059" w:rsidRPr="00A45059" w:rsidRDefault="00A45059" w:rsidP="00A45059">
      <w:pPr>
        <w:numPr>
          <w:ilvl w:val="0"/>
          <w:numId w:val="12"/>
        </w:numPr>
        <w:rPr>
          <w:lang w:val="es-ES"/>
        </w:rPr>
      </w:pPr>
      <w:r w:rsidRPr="00A45059">
        <w:rPr>
          <w:lang w:val="es-ES"/>
        </w:rPr>
        <w:t>priorizar las obligaciones que combinen alto riesgo y alta exposición;</w:t>
      </w:r>
    </w:p>
    <w:p w14:paraId="4EE4E969" w14:textId="77777777" w:rsidR="00A45059" w:rsidRPr="00A45059" w:rsidRDefault="00A45059" w:rsidP="00A45059">
      <w:pPr>
        <w:numPr>
          <w:ilvl w:val="0"/>
          <w:numId w:val="12"/>
        </w:numPr>
        <w:rPr>
          <w:lang w:val="es-ES"/>
        </w:rPr>
      </w:pPr>
      <w:r w:rsidRPr="00A45059">
        <w:rPr>
          <w:lang w:val="es-ES"/>
        </w:rPr>
        <w:t>aplicar estrategias de seguimiento diferentes según el segmento;</w:t>
      </w:r>
    </w:p>
    <w:p w14:paraId="3EDB4AA5" w14:textId="77777777" w:rsidR="00A45059" w:rsidRPr="00A45059" w:rsidRDefault="00A45059" w:rsidP="00A45059">
      <w:pPr>
        <w:numPr>
          <w:ilvl w:val="0"/>
          <w:numId w:val="12"/>
        </w:numPr>
        <w:rPr>
          <w:lang w:val="es-ES"/>
        </w:rPr>
      </w:pPr>
      <w:r w:rsidRPr="00A45059">
        <w:rPr>
          <w:lang w:val="es-ES"/>
        </w:rPr>
        <w:t>revisar los códigos de transacción con menor pago histórico y suficiente volumen;</w:t>
      </w:r>
    </w:p>
    <w:p w14:paraId="7DCB6C30" w14:textId="77777777" w:rsidR="00A45059" w:rsidRDefault="00A45059" w:rsidP="00A45059">
      <w:pPr>
        <w:numPr>
          <w:ilvl w:val="0"/>
          <w:numId w:val="12"/>
        </w:numPr>
        <w:rPr>
          <w:lang w:val="es-ES"/>
        </w:rPr>
      </w:pPr>
      <w:r w:rsidRPr="00A45059">
        <w:rPr>
          <w:lang w:val="es-ES"/>
        </w:rPr>
        <w:t>monitorear periódicamente el comportamiento de los segmentos y del modelo.</w:t>
      </w:r>
    </w:p>
    <w:p w14:paraId="61C6ABB0" w14:textId="77777777" w:rsidR="00D76C05" w:rsidRPr="00A45059" w:rsidRDefault="00D76C05" w:rsidP="00D76C05">
      <w:pPr>
        <w:rPr>
          <w:lang w:val="es-ES"/>
        </w:rPr>
      </w:pPr>
    </w:p>
    <w:p w14:paraId="00025BE3" w14:textId="77777777" w:rsidR="00A45059" w:rsidRPr="00A45059" w:rsidRDefault="00A45059" w:rsidP="00A45059">
      <w:pPr>
        <w:rPr>
          <w:lang w:val="es-ES"/>
        </w:rPr>
      </w:pPr>
      <w:r w:rsidRPr="00A45059">
        <w:rPr>
          <w:lang w:val="es-ES"/>
        </w:rPr>
        <w:t xml:space="preserve">El </w:t>
      </w:r>
      <w:proofErr w:type="spellStart"/>
      <w:r w:rsidRPr="00A45059">
        <w:rPr>
          <w:lang w:val="es-ES"/>
        </w:rPr>
        <w:t>dashboard</w:t>
      </w:r>
      <w:proofErr w:type="spellEnd"/>
      <w:r w:rsidRPr="00A45059">
        <w:rPr>
          <w:lang w:val="es-ES"/>
        </w:rPr>
        <w:t xml:space="preserve"> en </w:t>
      </w:r>
      <w:proofErr w:type="spellStart"/>
      <w:r w:rsidRPr="00A45059">
        <w:rPr>
          <w:lang w:val="es-ES"/>
        </w:rPr>
        <w:t>Power</w:t>
      </w:r>
      <w:proofErr w:type="spellEnd"/>
      <w:r w:rsidRPr="00A45059">
        <w:rPr>
          <w:lang w:val="es-ES"/>
        </w:rPr>
        <w:t xml:space="preserve"> BI presenta el comportamiento histórico, la distribución por segmentos, las obligaciones prioritarias y las métricas del modelo para facilitar su uso por parte de áreas no técnicas.</w:t>
      </w:r>
    </w:p>
    <w:p w14:paraId="758BBD0C" w14:textId="77777777" w:rsidR="00A45059" w:rsidRPr="00A45059" w:rsidRDefault="00A45059" w:rsidP="00A45059">
      <w:pPr>
        <w:rPr>
          <w:b/>
          <w:bCs/>
          <w:lang w:val="es-ES"/>
        </w:rPr>
      </w:pPr>
      <w:r w:rsidRPr="00A45059">
        <w:rPr>
          <w:b/>
          <w:bCs/>
          <w:lang w:val="es-ES"/>
        </w:rPr>
        <w:t>4. Limitaciones y próximos pasos</w:t>
      </w:r>
    </w:p>
    <w:p w14:paraId="0CE06E4C" w14:textId="77777777" w:rsidR="00A45059" w:rsidRPr="00A45059" w:rsidRDefault="00A45059" w:rsidP="00A45059">
      <w:pPr>
        <w:rPr>
          <w:lang w:val="es-ES"/>
        </w:rPr>
      </w:pPr>
      <w:r w:rsidRPr="00A45059">
        <w:rPr>
          <w:lang w:val="es-ES"/>
        </w:rPr>
        <w:t>El horizonte de 120 días es un supuesto que debe confirmarse con el área de negocio. Además, la fecha del último pago se utilizó como aproximación del momento en que se completó el pago.</w:t>
      </w:r>
    </w:p>
    <w:p w14:paraId="18F42178" w14:textId="77777777" w:rsidR="00A45059" w:rsidRPr="00A45059" w:rsidRDefault="00A45059" w:rsidP="00A45059">
      <w:pPr>
        <w:rPr>
          <w:lang w:val="es-ES"/>
        </w:rPr>
      </w:pPr>
      <w:r w:rsidRPr="00A45059">
        <w:rPr>
          <w:lang w:val="es-ES"/>
        </w:rPr>
        <w:t>El objetivo diferencia entre pago total y no pago total, pero no representa de forma específica las recuperaciones parciales. La fuente tampoco contiene información sobre vencimientos, condiciones contractuales, perfil del cliente, acuerdos de pago o gestiones de cobranza.</w:t>
      </w:r>
    </w:p>
    <w:p w14:paraId="68B4B37C" w14:textId="77777777" w:rsidR="00A45059" w:rsidRPr="00A45059" w:rsidRDefault="00A45059" w:rsidP="00A45059">
      <w:pPr>
        <w:rPr>
          <w:lang w:val="es-ES"/>
        </w:rPr>
      </w:pPr>
      <w:r w:rsidRPr="00A45059">
        <w:rPr>
          <w:lang w:val="es-ES"/>
        </w:rPr>
        <w:t>El modelo debe utilizarse principalmente para priorizar obligaciones, no como una estimación financiera definitiva ni como una decisión automática.</w:t>
      </w:r>
    </w:p>
    <w:p w14:paraId="77569368" w14:textId="77777777" w:rsidR="00A45059" w:rsidRPr="00A45059" w:rsidRDefault="00A45059" w:rsidP="00A45059">
      <w:pPr>
        <w:rPr>
          <w:lang w:val="es-ES"/>
        </w:rPr>
      </w:pPr>
      <w:r w:rsidRPr="00A45059">
        <w:rPr>
          <w:lang w:val="es-ES"/>
        </w:rPr>
        <w:t>Como siguientes pasos se propone validar las reglas con negocio, evaluar el modelo con periodos más recientes, revisar la calibración de las probabilidades e incorporar información adicional sobre los clientes y las gestiones de cobranza.</w:t>
      </w:r>
    </w:p>
    <w:p w14:paraId="4F61E42F" w14:textId="77777777" w:rsidR="00A45059" w:rsidRPr="00A45059" w:rsidRDefault="00A45059" w:rsidP="00A45059">
      <w:pPr>
        <w:rPr>
          <w:lang w:val="es-ES"/>
        </w:rPr>
      </w:pPr>
      <w:r w:rsidRPr="00A45059">
        <w:rPr>
          <w:lang w:val="es-ES"/>
        </w:rPr>
        <w:t>En conclusión, la solución permite pasar de una revisión general del saldo a una priorización que combina probabilidad de pago y exposición económica. Su principal aporte es orientar la gestión hacia los casos donde una intervención puede generar mayor valor.</w:t>
      </w:r>
    </w:p>
    <w:p w14:paraId="700DA8D2" w14:textId="75195324" w:rsidR="00F813D3" w:rsidRPr="00F813D3" w:rsidRDefault="00F813D3" w:rsidP="00F813D3">
      <w:pPr>
        <w:rPr>
          <w:lang w:val="es-ES"/>
        </w:rPr>
      </w:pPr>
    </w:p>
    <w:sectPr w:rsidR="00F813D3" w:rsidRPr="00F813D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D79D5"/>
    <w:multiLevelType w:val="multilevel"/>
    <w:tmpl w:val="559E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F4D96"/>
    <w:multiLevelType w:val="multilevel"/>
    <w:tmpl w:val="8BF8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A1718"/>
    <w:multiLevelType w:val="multilevel"/>
    <w:tmpl w:val="526E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72D7F"/>
    <w:multiLevelType w:val="multilevel"/>
    <w:tmpl w:val="3228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6512BB"/>
    <w:multiLevelType w:val="multilevel"/>
    <w:tmpl w:val="96BE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90297"/>
    <w:multiLevelType w:val="multilevel"/>
    <w:tmpl w:val="01A46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3B7B69"/>
    <w:multiLevelType w:val="multilevel"/>
    <w:tmpl w:val="990A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B04566"/>
    <w:multiLevelType w:val="multilevel"/>
    <w:tmpl w:val="2670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EC1504"/>
    <w:multiLevelType w:val="multilevel"/>
    <w:tmpl w:val="D574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2526DC"/>
    <w:multiLevelType w:val="multilevel"/>
    <w:tmpl w:val="0D68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A1452B"/>
    <w:multiLevelType w:val="multilevel"/>
    <w:tmpl w:val="79E6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4F1167"/>
    <w:multiLevelType w:val="multilevel"/>
    <w:tmpl w:val="8410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263013">
    <w:abstractNumId w:val="5"/>
  </w:num>
  <w:num w:numId="2" w16cid:durableId="1492138146">
    <w:abstractNumId w:val="4"/>
  </w:num>
  <w:num w:numId="3" w16cid:durableId="1579943673">
    <w:abstractNumId w:val="10"/>
  </w:num>
  <w:num w:numId="4" w16cid:durableId="431362524">
    <w:abstractNumId w:val="6"/>
  </w:num>
  <w:num w:numId="5" w16cid:durableId="1956477722">
    <w:abstractNumId w:val="7"/>
  </w:num>
  <w:num w:numId="6" w16cid:durableId="769594075">
    <w:abstractNumId w:val="11"/>
  </w:num>
  <w:num w:numId="7" w16cid:durableId="127162806">
    <w:abstractNumId w:val="1"/>
  </w:num>
  <w:num w:numId="8" w16cid:durableId="209651365">
    <w:abstractNumId w:val="9"/>
  </w:num>
  <w:num w:numId="9" w16cid:durableId="840971903">
    <w:abstractNumId w:val="0"/>
  </w:num>
  <w:num w:numId="10" w16cid:durableId="947004371">
    <w:abstractNumId w:val="8"/>
  </w:num>
  <w:num w:numId="11" w16cid:durableId="236668819">
    <w:abstractNumId w:val="3"/>
  </w:num>
  <w:num w:numId="12" w16cid:durableId="2855047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D3A"/>
    <w:rsid w:val="00102538"/>
    <w:rsid w:val="00164EC6"/>
    <w:rsid w:val="00217DAD"/>
    <w:rsid w:val="004746B5"/>
    <w:rsid w:val="005344E2"/>
    <w:rsid w:val="00576030"/>
    <w:rsid w:val="00593667"/>
    <w:rsid w:val="005C4014"/>
    <w:rsid w:val="008C39EA"/>
    <w:rsid w:val="00A45059"/>
    <w:rsid w:val="00A92E3D"/>
    <w:rsid w:val="00D442A1"/>
    <w:rsid w:val="00D76C05"/>
    <w:rsid w:val="00F43D3A"/>
    <w:rsid w:val="00F813D3"/>
    <w:rsid w:val="00FE2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031F3"/>
  <w15:chartTrackingRefBased/>
  <w15:docId w15:val="{357F9B6D-0C78-4387-9793-5A40602AA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rPr>
  </w:style>
  <w:style w:type="paragraph" w:styleId="Ttulo1">
    <w:name w:val="heading 1"/>
    <w:basedOn w:val="Normal"/>
    <w:next w:val="Normal"/>
    <w:link w:val="Ttulo1Car"/>
    <w:uiPriority w:val="9"/>
    <w:qFormat/>
    <w:rsid w:val="00F43D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43D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43D3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43D3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43D3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43D3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43D3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43D3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43D3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43D3A"/>
    <w:rPr>
      <w:rFonts w:asciiTheme="majorHAnsi" w:eastAsiaTheme="majorEastAsia" w:hAnsiTheme="majorHAnsi" w:cstheme="majorBidi"/>
      <w:color w:val="2F5496" w:themeColor="accent1" w:themeShade="BF"/>
      <w:sz w:val="40"/>
      <w:szCs w:val="40"/>
      <w:lang w:val="es-CO"/>
    </w:rPr>
  </w:style>
  <w:style w:type="character" w:customStyle="1" w:styleId="Ttulo2Car">
    <w:name w:val="Título 2 Car"/>
    <w:basedOn w:val="Fuentedeprrafopredeter"/>
    <w:link w:val="Ttulo2"/>
    <w:uiPriority w:val="9"/>
    <w:semiHidden/>
    <w:rsid w:val="00F43D3A"/>
    <w:rPr>
      <w:rFonts w:asciiTheme="majorHAnsi" w:eastAsiaTheme="majorEastAsia" w:hAnsiTheme="majorHAnsi" w:cstheme="majorBidi"/>
      <w:color w:val="2F5496" w:themeColor="accent1" w:themeShade="BF"/>
      <w:sz w:val="32"/>
      <w:szCs w:val="32"/>
      <w:lang w:val="es-CO"/>
    </w:rPr>
  </w:style>
  <w:style w:type="character" w:customStyle="1" w:styleId="Ttulo3Car">
    <w:name w:val="Título 3 Car"/>
    <w:basedOn w:val="Fuentedeprrafopredeter"/>
    <w:link w:val="Ttulo3"/>
    <w:uiPriority w:val="9"/>
    <w:semiHidden/>
    <w:rsid w:val="00F43D3A"/>
    <w:rPr>
      <w:rFonts w:eastAsiaTheme="majorEastAsia" w:cstheme="majorBidi"/>
      <w:color w:val="2F5496" w:themeColor="accent1" w:themeShade="BF"/>
      <w:sz w:val="28"/>
      <w:szCs w:val="28"/>
      <w:lang w:val="es-CO"/>
    </w:rPr>
  </w:style>
  <w:style w:type="character" w:customStyle="1" w:styleId="Ttulo4Car">
    <w:name w:val="Título 4 Car"/>
    <w:basedOn w:val="Fuentedeprrafopredeter"/>
    <w:link w:val="Ttulo4"/>
    <w:uiPriority w:val="9"/>
    <w:semiHidden/>
    <w:rsid w:val="00F43D3A"/>
    <w:rPr>
      <w:rFonts w:eastAsiaTheme="majorEastAsia" w:cstheme="majorBidi"/>
      <w:i/>
      <w:iCs/>
      <w:color w:val="2F5496" w:themeColor="accent1" w:themeShade="BF"/>
      <w:lang w:val="es-CO"/>
    </w:rPr>
  </w:style>
  <w:style w:type="character" w:customStyle="1" w:styleId="Ttulo5Car">
    <w:name w:val="Título 5 Car"/>
    <w:basedOn w:val="Fuentedeprrafopredeter"/>
    <w:link w:val="Ttulo5"/>
    <w:uiPriority w:val="9"/>
    <w:semiHidden/>
    <w:rsid w:val="00F43D3A"/>
    <w:rPr>
      <w:rFonts w:eastAsiaTheme="majorEastAsia" w:cstheme="majorBidi"/>
      <w:color w:val="2F5496" w:themeColor="accent1" w:themeShade="BF"/>
      <w:lang w:val="es-CO"/>
    </w:rPr>
  </w:style>
  <w:style w:type="character" w:customStyle="1" w:styleId="Ttulo6Car">
    <w:name w:val="Título 6 Car"/>
    <w:basedOn w:val="Fuentedeprrafopredeter"/>
    <w:link w:val="Ttulo6"/>
    <w:uiPriority w:val="9"/>
    <w:semiHidden/>
    <w:rsid w:val="00F43D3A"/>
    <w:rPr>
      <w:rFonts w:eastAsiaTheme="majorEastAsia" w:cstheme="majorBidi"/>
      <w:i/>
      <w:iCs/>
      <w:color w:val="595959" w:themeColor="text1" w:themeTint="A6"/>
      <w:lang w:val="es-CO"/>
    </w:rPr>
  </w:style>
  <w:style w:type="character" w:customStyle="1" w:styleId="Ttulo7Car">
    <w:name w:val="Título 7 Car"/>
    <w:basedOn w:val="Fuentedeprrafopredeter"/>
    <w:link w:val="Ttulo7"/>
    <w:uiPriority w:val="9"/>
    <w:semiHidden/>
    <w:rsid w:val="00F43D3A"/>
    <w:rPr>
      <w:rFonts w:eastAsiaTheme="majorEastAsia" w:cstheme="majorBidi"/>
      <w:color w:val="595959" w:themeColor="text1" w:themeTint="A6"/>
      <w:lang w:val="es-CO"/>
    </w:rPr>
  </w:style>
  <w:style w:type="character" w:customStyle="1" w:styleId="Ttulo8Car">
    <w:name w:val="Título 8 Car"/>
    <w:basedOn w:val="Fuentedeprrafopredeter"/>
    <w:link w:val="Ttulo8"/>
    <w:uiPriority w:val="9"/>
    <w:semiHidden/>
    <w:rsid w:val="00F43D3A"/>
    <w:rPr>
      <w:rFonts w:eastAsiaTheme="majorEastAsia" w:cstheme="majorBidi"/>
      <w:i/>
      <w:iCs/>
      <w:color w:val="272727" w:themeColor="text1" w:themeTint="D8"/>
      <w:lang w:val="es-CO"/>
    </w:rPr>
  </w:style>
  <w:style w:type="character" w:customStyle="1" w:styleId="Ttulo9Car">
    <w:name w:val="Título 9 Car"/>
    <w:basedOn w:val="Fuentedeprrafopredeter"/>
    <w:link w:val="Ttulo9"/>
    <w:uiPriority w:val="9"/>
    <w:semiHidden/>
    <w:rsid w:val="00F43D3A"/>
    <w:rPr>
      <w:rFonts w:eastAsiaTheme="majorEastAsia" w:cstheme="majorBidi"/>
      <w:color w:val="272727" w:themeColor="text1" w:themeTint="D8"/>
      <w:lang w:val="es-CO"/>
    </w:rPr>
  </w:style>
  <w:style w:type="paragraph" w:styleId="Ttulo">
    <w:name w:val="Title"/>
    <w:basedOn w:val="Normal"/>
    <w:next w:val="Normal"/>
    <w:link w:val="TtuloCar"/>
    <w:uiPriority w:val="10"/>
    <w:qFormat/>
    <w:rsid w:val="00F43D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43D3A"/>
    <w:rPr>
      <w:rFonts w:asciiTheme="majorHAnsi" w:eastAsiaTheme="majorEastAsia" w:hAnsiTheme="majorHAnsi" w:cstheme="majorBidi"/>
      <w:spacing w:val="-10"/>
      <w:kern w:val="28"/>
      <w:sz w:val="56"/>
      <w:szCs w:val="56"/>
      <w:lang w:val="es-CO"/>
    </w:rPr>
  </w:style>
  <w:style w:type="paragraph" w:styleId="Subttulo">
    <w:name w:val="Subtitle"/>
    <w:basedOn w:val="Normal"/>
    <w:next w:val="Normal"/>
    <w:link w:val="SubttuloCar"/>
    <w:uiPriority w:val="11"/>
    <w:qFormat/>
    <w:rsid w:val="00F43D3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43D3A"/>
    <w:rPr>
      <w:rFonts w:eastAsiaTheme="majorEastAsia" w:cstheme="majorBidi"/>
      <w:color w:val="595959" w:themeColor="text1" w:themeTint="A6"/>
      <w:spacing w:val="15"/>
      <w:sz w:val="28"/>
      <w:szCs w:val="28"/>
      <w:lang w:val="es-CO"/>
    </w:rPr>
  </w:style>
  <w:style w:type="paragraph" w:styleId="Cita">
    <w:name w:val="Quote"/>
    <w:basedOn w:val="Normal"/>
    <w:next w:val="Normal"/>
    <w:link w:val="CitaCar"/>
    <w:uiPriority w:val="29"/>
    <w:qFormat/>
    <w:rsid w:val="00F43D3A"/>
    <w:pPr>
      <w:spacing w:before="160"/>
      <w:jc w:val="center"/>
    </w:pPr>
    <w:rPr>
      <w:i/>
      <w:iCs/>
      <w:color w:val="404040" w:themeColor="text1" w:themeTint="BF"/>
    </w:rPr>
  </w:style>
  <w:style w:type="character" w:customStyle="1" w:styleId="CitaCar">
    <w:name w:val="Cita Car"/>
    <w:basedOn w:val="Fuentedeprrafopredeter"/>
    <w:link w:val="Cita"/>
    <w:uiPriority w:val="29"/>
    <w:rsid w:val="00F43D3A"/>
    <w:rPr>
      <w:i/>
      <w:iCs/>
      <w:color w:val="404040" w:themeColor="text1" w:themeTint="BF"/>
      <w:lang w:val="es-CO"/>
    </w:rPr>
  </w:style>
  <w:style w:type="paragraph" w:styleId="Prrafodelista">
    <w:name w:val="List Paragraph"/>
    <w:basedOn w:val="Normal"/>
    <w:uiPriority w:val="34"/>
    <w:qFormat/>
    <w:rsid w:val="00F43D3A"/>
    <w:pPr>
      <w:ind w:left="720"/>
      <w:contextualSpacing/>
    </w:pPr>
  </w:style>
  <w:style w:type="character" w:styleId="nfasisintenso">
    <w:name w:val="Intense Emphasis"/>
    <w:basedOn w:val="Fuentedeprrafopredeter"/>
    <w:uiPriority w:val="21"/>
    <w:qFormat/>
    <w:rsid w:val="00F43D3A"/>
    <w:rPr>
      <w:i/>
      <w:iCs/>
      <w:color w:val="2F5496" w:themeColor="accent1" w:themeShade="BF"/>
    </w:rPr>
  </w:style>
  <w:style w:type="paragraph" w:styleId="Citadestacada">
    <w:name w:val="Intense Quote"/>
    <w:basedOn w:val="Normal"/>
    <w:next w:val="Normal"/>
    <w:link w:val="CitadestacadaCar"/>
    <w:uiPriority w:val="30"/>
    <w:qFormat/>
    <w:rsid w:val="00F43D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43D3A"/>
    <w:rPr>
      <w:i/>
      <w:iCs/>
      <w:color w:val="2F5496" w:themeColor="accent1" w:themeShade="BF"/>
      <w:lang w:val="es-CO"/>
    </w:rPr>
  </w:style>
  <w:style w:type="character" w:styleId="Referenciaintensa">
    <w:name w:val="Intense Reference"/>
    <w:basedOn w:val="Fuentedeprrafopredeter"/>
    <w:uiPriority w:val="32"/>
    <w:qFormat/>
    <w:rsid w:val="00F43D3A"/>
    <w:rPr>
      <w:b/>
      <w:bCs/>
      <w:smallCaps/>
      <w:color w:val="2F5496" w:themeColor="accent1" w:themeShade="BF"/>
      <w:spacing w:val="5"/>
    </w:rPr>
  </w:style>
  <w:style w:type="table" w:styleId="Tablanormal2">
    <w:name w:val="Plain Table 2"/>
    <w:basedOn w:val="Tablanormal"/>
    <w:uiPriority w:val="42"/>
    <w:rsid w:val="0059366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41424">
      <w:bodyDiv w:val="1"/>
      <w:marLeft w:val="0"/>
      <w:marRight w:val="0"/>
      <w:marTop w:val="0"/>
      <w:marBottom w:val="0"/>
      <w:divBdr>
        <w:top w:val="none" w:sz="0" w:space="0" w:color="auto"/>
        <w:left w:val="none" w:sz="0" w:space="0" w:color="auto"/>
        <w:bottom w:val="none" w:sz="0" w:space="0" w:color="auto"/>
        <w:right w:val="none" w:sz="0" w:space="0" w:color="auto"/>
      </w:divBdr>
    </w:div>
    <w:div w:id="116030478">
      <w:bodyDiv w:val="1"/>
      <w:marLeft w:val="0"/>
      <w:marRight w:val="0"/>
      <w:marTop w:val="0"/>
      <w:marBottom w:val="0"/>
      <w:divBdr>
        <w:top w:val="none" w:sz="0" w:space="0" w:color="auto"/>
        <w:left w:val="none" w:sz="0" w:space="0" w:color="auto"/>
        <w:bottom w:val="none" w:sz="0" w:space="0" w:color="auto"/>
        <w:right w:val="none" w:sz="0" w:space="0" w:color="auto"/>
      </w:divBdr>
    </w:div>
    <w:div w:id="364599897">
      <w:bodyDiv w:val="1"/>
      <w:marLeft w:val="0"/>
      <w:marRight w:val="0"/>
      <w:marTop w:val="0"/>
      <w:marBottom w:val="0"/>
      <w:divBdr>
        <w:top w:val="none" w:sz="0" w:space="0" w:color="auto"/>
        <w:left w:val="none" w:sz="0" w:space="0" w:color="auto"/>
        <w:bottom w:val="none" w:sz="0" w:space="0" w:color="auto"/>
        <w:right w:val="none" w:sz="0" w:space="0" w:color="auto"/>
      </w:divBdr>
    </w:div>
    <w:div w:id="707877919">
      <w:bodyDiv w:val="1"/>
      <w:marLeft w:val="0"/>
      <w:marRight w:val="0"/>
      <w:marTop w:val="0"/>
      <w:marBottom w:val="0"/>
      <w:divBdr>
        <w:top w:val="none" w:sz="0" w:space="0" w:color="auto"/>
        <w:left w:val="none" w:sz="0" w:space="0" w:color="auto"/>
        <w:bottom w:val="none" w:sz="0" w:space="0" w:color="auto"/>
        <w:right w:val="none" w:sz="0" w:space="0" w:color="auto"/>
      </w:divBdr>
    </w:div>
    <w:div w:id="1723745851">
      <w:bodyDiv w:val="1"/>
      <w:marLeft w:val="0"/>
      <w:marRight w:val="0"/>
      <w:marTop w:val="0"/>
      <w:marBottom w:val="0"/>
      <w:divBdr>
        <w:top w:val="none" w:sz="0" w:space="0" w:color="auto"/>
        <w:left w:val="none" w:sz="0" w:space="0" w:color="auto"/>
        <w:bottom w:val="none" w:sz="0" w:space="0" w:color="auto"/>
        <w:right w:val="none" w:sz="0" w:space="0" w:color="auto"/>
      </w:divBdr>
    </w:div>
    <w:div w:id="1926180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RelyOnCS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715</Words>
  <Characters>3933</Characters>
  <Application>Microsoft Office Word</Application>
  <DocSecurity>0</DocSecurity>
  <Lines>32</Lines>
  <Paragraphs>9</Paragraphs>
  <ScaleCrop>false</ScaleCrop>
  <Company/>
  <LinksUpToDate>false</LinksUpToDate>
  <CharactersWithSpaces>4639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Andrés Cárdenas Quintero</dc:creator>
  <cp:keywords/>
  <dc:description/>
  <cp:lastModifiedBy>Carlos Andrés Cárdenas Quintero</cp:lastModifiedBy>
  <cp:revision>10</cp:revision>
  <dcterms:created xsi:type="dcterms:W3CDTF">2026-07-24T12:49:00Z</dcterms:created>
  <dcterms:modified xsi:type="dcterms:W3CDTF">2026-07-24T15:34:00Z</dcterms:modified>
</cp:coreProperties>
</file>