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generales del proceso: en «Memoriales y documentos» puede subir y descargar archivos sueltos (carátula, poder, anexos,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actuaciones: registre cada paso del proceso con su fecha y una descripción (por ejemplo, «Respuesta del juzgado» o «Nuevo memorial presentado»).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 cada paso del historial puede adjuntar uno o varios archivos: así sube la respuesta recibida del juzgado y, junto a ella, el nuevo memorial que se presentará.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cliente del caso ve su historial en modo lectura: puede abrir y descargar la respuesta del juzgado y el nuevo memorial, pero no modificar nada.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 cada caso ve su historial de actuaciones y puede descargar los archivos de cada paso: la respuesta del juzgado y el nuevo memorial presentado,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 del historial.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