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Credenciales del bufete (administrador y abogados)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21.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Credenciales del bufete (administrador y abogados)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panel incluye una pestaña «Credenciales», visible solo para el administrador y los abogados (los procuradores y clientes no la ven). Genera una credencial o carnet de LexFive con fondo blanco, tamaño 8.5 x 6 cm, lista para imprimir o guardar como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Usted llena los datos: nombre, cargo, carnet de identidad, correo, teléfono personal y de oficina, y las fechas de emisión y validez. La credencial se actualiza en vivo.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elegir el logotipo del bufete entre varios modelos; el elegido se aplica en toda la página, el panel y la credencial.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reverso puede escribir una frase del bufete y la base legal que faculta la representación del procurador (texto que redacta usted como abogado).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Hay líneas para la firma autorizada y el sello del bufete, sobre fondo blanco.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administrador y los abogados entregan las credenciales a sus procuradores: el procurador se registra, el administrador le asigna el rol «Procurador» en Usuarios, y luego se llena e imprime su credencial.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base legal de la representación la redacta usted con su criterio profesional; el sistema no inventa números de artículo. Cada persona tiene su propia cuenta y no se comparten contraseñas.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21.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