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001C2D">
      <w:pPr>
        <w:spacing w:line="600" w:lineRule="exact"/>
        <w:jc w:val="center"/>
        <w:rPr>
          <w:rFonts w:ascii="Times New Roman" w:hAnsi="Times New Roman" w:eastAsia="方正小标宋简体" w:cs="方正小标宋简体"/>
          <w:sz w:val="42"/>
          <w:szCs w:val="42"/>
        </w:rPr>
      </w:pPr>
      <w:r>
        <w:rPr>
          <w:rFonts w:hint="eastAsia" w:ascii="Times New Roman" w:hAnsi="Times New Roman" w:eastAsia="方正小标宋简体" w:cs="方正小标宋简体"/>
          <w:sz w:val="42"/>
          <w:szCs w:val="42"/>
        </w:rPr>
        <w:t>第四届中国研究生金融科技创新大赛</w:t>
      </w:r>
    </w:p>
    <w:p w14:paraId="3AF0A713">
      <w:pPr>
        <w:spacing w:line="600" w:lineRule="exact"/>
        <w:jc w:val="center"/>
        <w:rPr>
          <w:rFonts w:ascii="Times New Roman" w:hAnsi="Times New Roman" w:eastAsia="楷体" w:cs="楷体"/>
          <w:b/>
          <w:sz w:val="32"/>
          <w:szCs w:val="32"/>
        </w:rPr>
      </w:pPr>
      <w:r>
        <w:rPr>
          <w:rFonts w:hint="eastAsia" w:ascii="Times New Roman" w:hAnsi="Times New Roman" w:eastAsia="方正小标宋简体" w:cs="方正小标宋简体"/>
          <w:sz w:val="42"/>
          <w:szCs w:val="42"/>
        </w:rPr>
        <w:t>“揭榜挂帅”命题征集表</w:t>
      </w:r>
    </w:p>
    <w:p w14:paraId="472B7C46">
      <w:pPr>
        <w:rPr>
          <w:rFonts w:hint="eastAsia" w:ascii="Times New Roman" w:hAnsi="Times New Roman"/>
        </w:rPr>
      </w:pPr>
    </w:p>
    <w:tbl>
      <w:tblPr>
        <w:tblStyle w:val="7"/>
        <w:tblW w:w="978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18"/>
        <w:gridCol w:w="1300"/>
        <w:gridCol w:w="2126"/>
        <w:gridCol w:w="1701"/>
        <w:gridCol w:w="2276"/>
      </w:tblGrid>
      <w:tr w14:paraId="76DDD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480B5AC5">
            <w:pPr>
              <w:widowControl/>
              <w:jc w:val="center"/>
              <w:rPr>
                <w:rFonts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一、出题方基本情况</w:t>
            </w:r>
          </w:p>
        </w:tc>
      </w:tr>
      <w:tr w14:paraId="125FDC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268" w:type="dxa"/>
            <w:noWrap/>
            <w:vAlign w:val="center"/>
          </w:tcPr>
          <w:p w14:paraId="321E571B">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单位名称</w:t>
            </w:r>
          </w:p>
        </w:tc>
        <w:tc>
          <w:tcPr>
            <w:tcW w:w="7521" w:type="dxa"/>
            <w:gridSpan w:val="5"/>
            <w:noWrap/>
            <w:vAlign w:val="center"/>
          </w:tcPr>
          <w:p w14:paraId="279C5BE0">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lang w:val="en-US" w:eastAsia="zh-CN"/>
              </w:rPr>
              <w:t>无锡农村商业银行股份有限公司</w:t>
            </w:r>
            <w:r>
              <w:rPr>
                <w:rFonts w:hint="eastAsia" w:ascii="Times New Roman" w:hAnsi="Times New Roman" w:eastAsia="仿宋_GB2312" w:cs="Arial"/>
                <w:b/>
                <w:bCs/>
                <w:color w:val="000000"/>
                <w:kern w:val="0"/>
                <w:sz w:val="28"/>
                <w:szCs w:val="28"/>
              </w:rPr>
              <w:t>　</w:t>
            </w:r>
          </w:p>
        </w:tc>
      </w:tr>
      <w:tr w14:paraId="0A8126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268" w:type="dxa"/>
            <w:noWrap/>
            <w:vAlign w:val="center"/>
          </w:tcPr>
          <w:p w14:paraId="26F8CE42">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单位地址</w:t>
            </w:r>
          </w:p>
        </w:tc>
        <w:tc>
          <w:tcPr>
            <w:tcW w:w="7521" w:type="dxa"/>
            <w:gridSpan w:val="5"/>
            <w:noWrap/>
            <w:vAlign w:val="center"/>
          </w:tcPr>
          <w:p w14:paraId="7AEEB360">
            <w:pPr>
              <w:widowControl/>
              <w:jc w:val="center"/>
              <w:rPr>
                <w:rFonts w:hint="eastAsia" w:ascii="Times New Roman" w:hAnsi="Times New Roman" w:eastAsia="仿宋_GB2312" w:cs="Arial"/>
                <w:color w:val="000000"/>
                <w:kern w:val="0"/>
                <w:sz w:val="28"/>
                <w:szCs w:val="28"/>
              </w:rPr>
            </w:pPr>
            <w:r>
              <w:rPr>
                <w:rFonts w:hint="eastAsia" w:ascii="Times New Roman" w:hAnsi="Times New Roman" w:eastAsia="仿宋_GB2312" w:cs="Arial"/>
                <w:color w:val="000000"/>
                <w:kern w:val="0"/>
                <w:sz w:val="28"/>
                <w:szCs w:val="28"/>
                <w:lang w:val="en-US" w:eastAsia="zh-CN"/>
              </w:rPr>
              <w:t>江苏省无锡市滨湖区金融2街9号</w:t>
            </w:r>
            <w:r>
              <w:rPr>
                <w:rFonts w:hint="eastAsia" w:ascii="Times New Roman" w:hAnsi="Times New Roman" w:eastAsia="仿宋_GB2312" w:cs="Arial"/>
                <w:color w:val="000000"/>
                <w:kern w:val="0"/>
                <w:sz w:val="28"/>
                <w:szCs w:val="28"/>
              </w:rPr>
              <w:t>　</w:t>
            </w:r>
          </w:p>
        </w:tc>
      </w:tr>
      <w:tr w14:paraId="1C24B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8" w:hRule="atLeast"/>
        </w:trPr>
        <w:tc>
          <w:tcPr>
            <w:tcW w:w="2268" w:type="dxa"/>
            <w:noWrap/>
            <w:vAlign w:val="center"/>
          </w:tcPr>
          <w:p w14:paraId="4DFE7A95">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单位简介</w:t>
            </w:r>
          </w:p>
        </w:tc>
        <w:tc>
          <w:tcPr>
            <w:tcW w:w="7521" w:type="dxa"/>
            <w:gridSpan w:val="5"/>
            <w:noWrap/>
            <w:vAlign w:val="center"/>
          </w:tcPr>
          <w:p w14:paraId="25E7E57D">
            <w:pPr>
              <w:widowControl/>
              <w:jc w:val="center"/>
              <w:rPr>
                <w:rFonts w:hint="eastAsia" w:ascii="Times New Roman" w:hAnsi="Times New Roman" w:eastAsia="仿宋_GB2312" w:cs="Arial"/>
                <w:color w:val="000000"/>
                <w:kern w:val="0"/>
                <w:sz w:val="28"/>
                <w:szCs w:val="28"/>
              </w:rPr>
            </w:pPr>
            <w:r>
              <w:rPr>
                <w:rFonts w:hint="eastAsia" w:ascii="Times New Roman" w:hAnsi="Times New Roman" w:eastAsia="仿宋_GB2312" w:cs="Arial"/>
                <w:color w:val="000000"/>
                <w:kern w:val="0"/>
                <w:sz w:val="28"/>
                <w:szCs w:val="28"/>
              </w:rPr>
              <w:t>无锡农村商业银行成立于2005年6月，是一家股份制的地方性金融机构</w:t>
            </w:r>
            <w:r>
              <w:rPr>
                <w:rFonts w:hint="eastAsia" w:ascii="Times New Roman" w:hAnsi="Times New Roman" w:eastAsia="仿宋_GB2312" w:cs="Arial"/>
                <w:color w:val="000000"/>
                <w:kern w:val="0"/>
                <w:sz w:val="28"/>
                <w:szCs w:val="28"/>
                <w:lang w:eastAsia="zh-CN"/>
              </w:rPr>
              <w:t>，</w:t>
            </w:r>
            <w:r>
              <w:rPr>
                <w:rFonts w:hint="eastAsia" w:ascii="Times New Roman" w:hAnsi="Times New Roman" w:eastAsia="仿宋_GB2312" w:cs="Arial"/>
                <w:color w:val="000000"/>
                <w:kern w:val="0"/>
                <w:sz w:val="28"/>
                <w:szCs w:val="28"/>
                <w:lang w:val="en-US" w:eastAsia="zh-CN"/>
              </w:rPr>
              <w:t>2016年9月上交所上市</w:t>
            </w:r>
            <w:r>
              <w:rPr>
                <w:rFonts w:hint="eastAsia" w:ascii="Times New Roman" w:hAnsi="Times New Roman" w:eastAsia="仿宋_GB2312" w:cs="Arial"/>
                <w:color w:val="000000"/>
                <w:kern w:val="0"/>
                <w:sz w:val="28"/>
                <w:szCs w:val="28"/>
              </w:rPr>
              <w:t>。成立以来，无锡农村商业银行充分发挥法人银行的机制优势，以服务地方经济发展为己任，外拓市场，内强管理，不断做大做强做优。先后获得过“江苏省银行业文明规范服务示范单位”“江苏省和谐劳动关系先进单位”“全国金融机构服务‘三农’最佳诚信企业奖”“银企合作‘十佳银行’最佳爱心公益奖”“中国最具成长性银行”“农村商业银行城区标杆银行”“中国服务业企业500强”“全球千强银行”等荣誉称号。</w:t>
            </w:r>
          </w:p>
        </w:tc>
      </w:tr>
      <w:tr w14:paraId="245A38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268" w:type="dxa"/>
            <w:vMerge w:val="restart"/>
            <w:noWrap/>
            <w:vAlign w:val="center"/>
          </w:tcPr>
          <w:p w14:paraId="675D4FC3">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联系人</w:t>
            </w:r>
          </w:p>
        </w:tc>
        <w:tc>
          <w:tcPr>
            <w:tcW w:w="1418" w:type="dxa"/>
            <w:gridSpan w:val="2"/>
            <w:noWrap/>
            <w:vAlign w:val="center"/>
          </w:tcPr>
          <w:p w14:paraId="5128B9A2">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姓名</w:t>
            </w:r>
          </w:p>
        </w:tc>
        <w:tc>
          <w:tcPr>
            <w:tcW w:w="2126" w:type="dxa"/>
            <w:noWrap/>
            <w:vAlign w:val="center"/>
          </w:tcPr>
          <w:p w14:paraId="3BB3C470">
            <w:pPr>
              <w:widowControl/>
              <w:jc w:val="center"/>
              <w:rPr>
                <w:rFonts w:hint="eastAsia" w:ascii="Times New Roman" w:hAnsi="Times New Roman" w:eastAsia="仿宋_GB2312" w:cs="Arial"/>
                <w:color w:val="000000"/>
                <w:kern w:val="0"/>
                <w:sz w:val="28"/>
                <w:szCs w:val="28"/>
                <w:lang w:val="en-US" w:eastAsia="zh-CN"/>
              </w:rPr>
            </w:pPr>
            <w:r>
              <w:rPr>
                <w:rFonts w:hint="eastAsia" w:ascii="Times New Roman" w:hAnsi="Times New Roman" w:eastAsia="仿宋_GB2312" w:cs="Arial"/>
                <w:color w:val="000000"/>
                <w:kern w:val="0"/>
                <w:sz w:val="28"/>
                <w:szCs w:val="28"/>
              </w:rPr>
              <w:t>　</w:t>
            </w:r>
            <w:r>
              <w:rPr>
                <w:rFonts w:hint="eastAsia" w:ascii="Times New Roman" w:hAnsi="Times New Roman" w:eastAsia="仿宋_GB2312" w:cs="Arial"/>
                <w:color w:val="000000"/>
                <w:kern w:val="0"/>
                <w:sz w:val="28"/>
                <w:szCs w:val="28"/>
                <w:lang w:val="en-US" w:eastAsia="zh-CN"/>
              </w:rPr>
              <w:t>胡誉馨</w:t>
            </w:r>
          </w:p>
        </w:tc>
        <w:tc>
          <w:tcPr>
            <w:tcW w:w="1701" w:type="dxa"/>
            <w:noWrap/>
            <w:vAlign w:val="center"/>
          </w:tcPr>
          <w:p w14:paraId="209C76FC">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职务</w:t>
            </w:r>
          </w:p>
        </w:tc>
        <w:tc>
          <w:tcPr>
            <w:tcW w:w="2276" w:type="dxa"/>
            <w:noWrap/>
            <w:vAlign w:val="center"/>
          </w:tcPr>
          <w:p w14:paraId="4F768F05">
            <w:pPr>
              <w:widowControl/>
              <w:jc w:val="center"/>
              <w:rPr>
                <w:rFonts w:hint="default" w:ascii="Times New Roman" w:hAnsi="Times New Roman" w:eastAsia="仿宋_GB2312" w:cs="Arial"/>
                <w:color w:val="000000"/>
                <w:kern w:val="0"/>
                <w:sz w:val="28"/>
                <w:szCs w:val="28"/>
                <w:lang w:val="en-US" w:eastAsia="zh-CN"/>
              </w:rPr>
            </w:pPr>
            <w:r>
              <w:rPr>
                <w:rFonts w:hint="eastAsia" w:ascii="Times New Roman" w:hAnsi="Times New Roman" w:eastAsia="仿宋_GB2312" w:cs="Arial"/>
                <w:color w:val="000000"/>
                <w:kern w:val="0"/>
                <w:sz w:val="28"/>
                <w:szCs w:val="28"/>
              </w:rPr>
              <w:t>　</w:t>
            </w:r>
            <w:r>
              <w:rPr>
                <w:rFonts w:hint="eastAsia" w:ascii="Times New Roman" w:hAnsi="Times New Roman" w:eastAsia="仿宋_GB2312" w:cs="Arial"/>
                <w:color w:val="000000"/>
                <w:kern w:val="0"/>
                <w:sz w:val="28"/>
                <w:szCs w:val="28"/>
                <w:lang w:val="en-US" w:eastAsia="zh-CN"/>
              </w:rPr>
              <w:t>高级技术经理</w:t>
            </w:r>
          </w:p>
        </w:tc>
      </w:tr>
      <w:tr w14:paraId="6387C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268" w:type="dxa"/>
            <w:vMerge w:val="continue"/>
            <w:noWrap w:val="0"/>
            <w:vAlign w:val="center"/>
          </w:tcPr>
          <w:p w14:paraId="6F5F4252">
            <w:pPr>
              <w:widowControl/>
              <w:jc w:val="left"/>
              <w:rPr>
                <w:rFonts w:ascii="Times New Roman" w:hAnsi="Times New Roman" w:eastAsia="仿宋_GB2312" w:cs="Arial"/>
                <w:b/>
                <w:bCs/>
                <w:color w:val="000000"/>
                <w:kern w:val="0"/>
                <w:sz w:val="28"/>
                <w:szCs w:val="28"/>
              </w:rPr>
            </w:pPr>
          </w:p>
        </w:tc>
        <w:tc>
          <w:tcPr>
            <w:tcW w:w="1418" w:type="dxa"/>
            <w:gridSpan w:val="2"/>
            <w:noWrap/>
            <w:vAlign w:val="center"/>
          </w:tcPr>
          <w:p w14:paraId="66B69F51">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手机</w:t>
            </w:r>
          </w:p>
        </w:tc>
        <w:tc>
          <w:tcPr>
            <w:tcW w:w="2126" w:type="dxa"/>
            <w:noWrap/>
            <w:vAlign w:val="center"/>
          </w:tcPr>
          <w:p w14:paraId="0782D5EE">
            <w:pPr>
              <w:widowControl/>
              <w:jc w:val="center"/>
              <w:rPr>
                <w:rFonts w:hint="default" w:ascii="Times New Roman" w:hAnsi="Times New Roman" w:eastAsia="仿宋_GB2312" w:cs="Arial"/>
                <w:color w:val="000000"/>
                <w:kern w:val="0"/>
                <w:sz w:val="28"/>
                <w:szCs w:val="28"/>
                <w:lang w:val="en-US" w:eastAsia="zh-CN"/>
              </w:rPr>
            </w:pPr>
            <w:r>
              <w:rPr>
                <w:rFonts w:hint="eastAsia" w:ascii="Times New Roman" w:hAnsi="Times New Roman" w:eastAsia="仿宋_GB2312" w:cs="Arial"/>
                <w:color w:val="000000"/>
                <w:kern w:val="0"/>
                <w:sz w:val="28"/>
                <w:szCs w:val="28"/>
              </w:rPr>
              <w:t>　</w:t>
            </w:r>
            <w:r>
              <w:rPr>
                <w:rFonts w:hint="eastAsia" w:ascii="Times New Roman" w:hAnsi="Times New Roman" w:eastAsia="仿宋_GB2312" w:cs="Arial"/>
                <w:color w:val="000000"/>
                <w:kern w:val="0"/>
                <w:sz w:val="28"/>
                <w:szCs w:val="28"/>
                <w:lang w:val="en-US" w:eastAsia="zh-CN"/>
              </w:rPr>
              <w:t>18552160616</w:t>
            </w:r>
          </w:p>
        </w:tc>
        <w:tc>
          <w:tcPr>
            <w:tcW w:w="1701" w:type="dxa"/>
            <w:noWrap/>
            <w:vAlign w:val="center"/>
          </w:tcPr>
          <w:p w14:paraId="72D62AC8">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电子邮箱</w:t>
            </w:r>
          </w:p>
        </w:tc>
        <w:tc>
          <w:tcPr>
            <w:tcW w:w="2276" w:type="dxa"/>
            <w:noWrap/>
            <w:vAlign w:val="center"/>
          </w:tcPr>
          <w:p w14:paraId="3A4F6E2D">
            <w:pPr>
              <w:widowControl/>
              <w:jc w:val="center"/>
              <w:rPr>
                <w:rFonts w:hint="default" w:ascii="Times New Roman" w:hAnsi="Times New Roman" w:eastAsia="仿宋_GB2312" w:cs="Arial"/>
                <w:color w:val="000000"/>
                <w:kern w:val="0"/>
                <w:sz w:val="28"/>
                <w:szCs w:val="28"/>
                <w:lang w:val="en-US" w:eastAsia="zh-CN"/>
              </w:rPr>
            </w:pPr>
            <w:r>
              <w:rPr>
                <w:rFonts w:hint="eastAsia" w:ascii="Times New Roman" w:hAnsi="Times New Roman" w:eastAsia="仿宋_GB2312" w:cs="Arial"/>
                <w:color w:val="000000"/>
                <w:kern w:val="0"/>
                <w:sz w:val="22"/>
                <w:szCs w:val="22"/>
                <w:lang w:val="en-US" w:eastAsia="zh-CN"/>
              </w:rPr>
              <w:t>huyuxin@wrcb.com.cn</w:t>
            </w:r>
          </w:p>
        </w:tc>
      </w:tr>
      <w:tr w14:paraId="152B3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2F1FC8DB">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二、命题信息</w:t>
            </w:r>
          </w:p>
        </w:tc>
      </w:tr>
      <w:tr w14:paraId="7E669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2268" w:type="dxa"/>
            <w:noWrap/>
            <w:vAlign w:val="center"/>
          </w:tcPr>
          <w:p w14:paraId="60340E62">
            <w:pPr>
              <w:widowControl/>
              <w:jc w:val="center"/>
              <w:rPr>
                <w:rFonts w:hint="eastAsia"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命题名称</w:t>
            </w:r>
          </w:p>
        </w:tc>
        <w:tc>
          <w:tcPr>
            <w:tcW w:w="7521" w:type="dxa"/>
            <w:gridSpan w:val="5"/>
            <w:noWrap/>
            <w:vAlign w:val="center"/>
          </w:tcPr>
          <w:p w14:paraId="510C45AA">
            <w:pPr>
              <w:widowControl/>
              <w:rPr>
                <w:rFonts w:hint="default" w:ascii="Times New Roman" w:hAnsi="Times New Roman" w:eastAsia="仿宋_GB2312" w:cs="Arial"/>
                <w:color w:val="AEAAAA"/>
                <w:kern w:val="0"/>
                <w:sz w:val="28"/>
                <w:szCs w:val="28"/>
                <w:lang w:val="en-US" w:eastAsia="zh-CN"/>
              </w:rPr>
            </w:pPr>
            <w:r>
              <w:rPr>
                <w:rFonts w:hint="eastAsia" w:ascii="Times New Roman" w:hAnsi="Times New Roman" w:eastAsia="仿宋_GB2312" w:cs="Arial"/>
                <w:color w:val="000000" w:themeColor="text1"/>
                <w:kern w:val="0"/>
                <w:sz w:val="28"/>
                <w:szCs w:val="28"/>
                <w:lang w:val="en-US" w:eastAsia="zh-CN"/>
                <w14:textFill>
                  <w14:solidFill>
                    <w14:schemeClr w14:val="tx1"/>
                  </w14:solidFill>
                </w14:textFill>
              </w:rPr>
              <w:t>基于极不平衡样本的客户金融服务产品多步推荐模型</w:t>
            </w:r>
          </w:p>
        </w:tc>
      </w:tr>
      <w:tr w14:paraId="73CED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624E8972">
            <w:pPr>
              <w:widowControl/>
              <w:jc w:val="left"/>
              <w:rPr>
                <w:rFonts w:hint="eastAsia" w:ascii="Times New Roman" w:hAnsi="Times New Roman" w:eastAsia="仿宋_GB2312" w:cs="Arial"/>
                <w:color w:val="000000"/>
                <w:kern w:val="0"/>
                <w:sz w:val="24"/>
              </w:rPr>
            </w:pPr>
            <w:r>
              <w:rPr>
                <w:rFonts w:hint="eastAsia" w:ascii="Times New Roman" w:hAnsi="Times New Roman" w:eastAsia="仿宋_GB2312" w:cs="Arial"/>
                <w:b/>
                <w:bCs/>
                <w:color w:val="000000"/>
                <w:kern w:val="0"/>
                <w:sz w:val="28"/>
                <w:szCs w:val="28"/>
              </w:rPr>
              <w:t>业务场景描述</w:t>
            </w:r>
            <w:r>
              <w:rPr>
                <w:rFonts w:hint="eastAsia" w:ascii="Times New Roman" w:hAnsi="Times New Roman" w:eastAsia="仿宋_GB2312" w:cs="Arial"/>
                <w:color w:val="000000"/>
                <w:kern w:val="0"/>
                <w:sz w:val="24"/>
              </w:rPr>
              <w:t>（描述说明现实的业务场景状况，阐述期望解决的具体业务瓶颈或应用难题）</w:t>
            </w:r>
          </w:p>
          <w:p w14:paraId="0672C244">
            <w:pPr>
              <w:pStyle w:val="2"/>
              <w:rPr>
                <w:rFonts w:hint="default"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无锡农商行在无锡范围内是最主要的社保卡发卡行，在百万级的个人客户中，绝大多数持有业务为社保卡即储蓄账户，2023-2024年基于存量的社保卡客户群体，无锡农商行把握换卡时进行了无差别营销，推进了线上渠道绑定与主推业务营销，营销后由于业务系统数据分散，未形成客户层面的有效观测，从数据分析的历史情况来看，分析除储蓄的其他产品，持有产品的客户样本占比低，除无差别营销外，只能从已持有相关业务的客群中进行挖掘，未能从客户特征方面形成有效的拓新模型或策略，新建设产品后难以参考历史营销数据将新产品融入推荐策略。</w:t>
            </w:r>
          </w:p>
          <w:p w14:paraId="4C520170">
            <w:pPr>
              <w:pStyle w:val="2"/>
              <w:rPr>
                <w:rFonts w:hint="eastAsia"/>
              </w:rPr>
            </w:pPr>
          </w:p>
        </w:tc>
      </w:tr>
      <w:tr w14:paraId="619CF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2366FE8F">
            <w:pPr>
              <w:widowControl/>
              <w:rPr>
                <w:rFonts w:ascii="Times New Roman" w:hAnsi="Times New Roman" w:eastAsia="仿宋_GB2312" w:cs="Arial"/>
                <w:color w:val="000000"/>
                <w:kern w:val="0"/>
                <w:sz w:val="24"/>
              </w:rPr>
            </w:pPr>
            <w:r>
              <w:rPr>
                <w:rFonts w:hint="eastAsia" w:ascii="Times New Roman" w:hAnsi="Times New Roman" w:eastAsia="仿宋_GB2312" w:cs="Arial"/>
                <w:b/>
                <w:bCs/>
                <w:color w:val="000000"/>
                <w:kern w:val="0"/>
                <w:sz w:val="28"/>
                <w:szCs w:val="28"/>
              </w:rPr>
              <w:t>技术攻关问题描述</w:t>
            </w:r>
            <w:r>
              <w:rPr>
                <w:rFonts w:hint="eastAsia" w:ascii="Times New Roman" w:hAnsi="Times New Roman" w:eastAsia="仿宋_GB2312" w:cs="Arial"/>
                <w:color w:val="000000"/>
                <w:kern w:val="0"/>
                <w:sz w:val="24"/>
              </w:rPr>
              <w:t>（针对应用层面的难点问题，用一段话总结技术层面需要解决的关键卡点堵点问题，若该业务瓶颈/应用难点下存在多个技术问题则分条表述）</w:t>
            </w:r>
          </w:p>
          <w:p w14:paraId="587BAA56">
            <w:pPr>
              <w:pStyle w:val="2"/>
              <w:rPr>
                <w:color w:val="A5A5A5"/>
              </w:rPr>
            </w:pPr>
          </w:p>
          <w:p w14:paraId="0DFD6E09">
            <w:pPr>
              <w:pStyle w:val="2"/>
              <w:numPr>
                <w:ilvl w:val="0"/>
                <w:numId w:val="1"/>
              </w:numPr>
              <w:rPr>
                <w:rFonts w:hint="eastAsia"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针对客户金融产品持有或渠道行为数据，并且能够考虑个体在社会中的发展逻辑以及金融业务间的属性差异建设出具有推断性的预测模型；</w:t>
            </w:r>
          </w:p>
          <w:p w14:paraId="7D3326E8">
            <w:pPr>
              <w:pStyle w:val="2"/>
              <w:numPr>
                <w:ilvl w:val="0"/>
                <w:numId w:val="1"/>
              </w:numPr>
              <w:rPr>
                <w:rFonts w:hint="eastAsia"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由于与客户接触的机会有限，需要定义出有效的营销机会标签，使得在数据支持很少的情况下给出有效的差异化推荐并针对客户响应情况给出下一步推荐产品；</w:t>
            </w:r>
          </w:p>
          <w:p w14:paraId="5E47F1EB">
            <w:pPr>
              <w:pStyle w:val="2"/>
              <w:numPr>
                <w:ilvl w:val="0"/>
                <w:numId w:val="1"/>
              </w:numPr>
              <w:rPr>
                <w:rFonts w:hint="eastAsia"/>
              </w:rPr>
            </w:pPr>
            <w:r>
              <w:rPr>
                <w:rFonts w:hint="eastAsia" w:ascii="Times New Roman" w:hAnsi="Times New Roman" w:eastAsia="仿宋_GB2312" w:cs="Arial"/>
                <w:color w:val="000000"/>
                <w:kern w:val="0"/>
                <w:sz w:val="24"/>
                <w:szCs w:val="24"/>
                <w:lang w:val="en-US" w:eastAsia="zh-CN" w:bidi="ar-SA"/>
              </w:rPr>
              <w:t>在推出新的金融产品时,如何考虑产品属性，才能够将新产品快速融入推荐策略进行冷启动。</w:t>
            </w:r>
          </w:p>
        </w:tc>
      </w:tr>
      <w:tr w14:paraId="7DE49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7DD8FC7F">
            <w:pPr>
              <w:widowControl/>
              <w:rPr>
                <w:rFonts w:ascii="Times New Roman" w:hAnsi="Times New Roman" w:eastAsia="仿宋_GB2312" w:cs="Arial"/>
                <w:color w:val="000000"/>
                <w:kern w:val="0"/>
                <w:sz w:val="24"/>
              </w:rPr>
            </w:pPr>
            <w:r>
              <w:rPr>
                <w:rFonts w:hint="eastAsia" w:ascii="Times New Roman" w:hAnsi="Times New Roman" w:eastAsia="仿宋_GB2312" w:cs="Arial"/>
                <w:b/>
                <w:bCs/>
                <w:color w:val="000000"/>
                <w:kern w:val="0"/>
                <w:sz w:val="28"/>
                <w:szCs w:val="28"/>
              </w:rPr>
              <w:t>攻关任务描述</w:t>
            </w:r>
            <w:r>
              <w:rPr>
                <w:rFonts w:hint="eastAsia" w:ascii="Times New Roman" w:hAnsi="Times New Roman" w:eastAsia="仿宋_GB2312" w:cs="Arial"/>
                <w:color w:val="000000"/>
                <w:kern w:val="0"/>
                <w:sz w:val="24"/>
              </w:rPr>
              <w:t>（针对技术攻关问题，具体描述技术攻关的任务性要求，每条技术攻关问题须对应一段攻关任务描述）</w:t>
            </w:r>
          </w:p>
          <w:p w14:paraId="62210ACB">
            <w:pPr>
              <w:pStyle w:val="2"/>
              <w:numPr>
                <w:ilvl w:val="0"/>
                <w:numId w:val="2"/>
              </w:numPr>
              <w:rPr>
                <w:rFonts w:hint="default"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能够基于客户在各个产品上的行为表现，结合客户自身的社会属性，给出一个预测模型，并且支持在给出不同的反馈结果后给出第二步推荐产品；</w:t>
            </w:r>
          </w:p>
          <w:p w14:paraId="41AB586D">
            <w:pPr>
              <w:pStyle w:val="2"/>
              <w:numPr>
                <w:ilvl w:val="0"/>
                <w:numId w:val="2"/>
              </w:numPr>
              <w:rPr>
                <w:rFonts w:hint="default"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基于客户的属性标签和尽量少的营销反馈数据组合定义出有效营销标签；</w:t>
            </w:r>
          </w:p>
          <w:p w14:paraId="2C5E691E">
            <w:pPr>
              <w:pStyle w:val="2"/>
              <w:numPr>
                <w:ilvl w:val="0"/>
                <w:numId w:val="2"/>
              </w:numPr>
              <w:rPr>
                <w:rFonts w:hint="eastAsia"/>
              </w:rPr>
            </w:pPr>
            <w:r>
              <w:rPr>
                <w:rFonts w:hint="eastAsia" w:ascii="Times New Roman" w:hAnsi="Times New Roman" w:eastAsia="仿宋_GB2312" w:cs="Arial"/>
                <w:color w:val="000000"/>
                <w:kern w:val="0"/>
                <w:sz w:val="24"/>
                <w:szCs w:val="24"/>
                <w:lang w:val="en-US" w:eastAsia="zh-CN" w:bidi="ar-SA"/>
              </w:rPr>
              <w:t>分析新金融产品的属性，建设产品间的互相替代、补充、相反的关系，在给出新产品属性时，能够基于存量数据圈选出推荐客户群。</w:t>
            </w:r>
          </w:p>
        </w:tc>
      </w:tr>
      <w:tr w14:paraId="61C99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29F3D755">
            <w:pPr>
              <w:widowControl/>
              <w:rPr>
                <w:rFonts w:hint="eastAsia" w:ascii="Times New Roman" w:hAnsi="Times New Roman" w:eastAsia="仿宋_GB2312" w:cs="Arial"/>
                <w:color w:val="000000"/>
                <w:kern w:val="0"/>
                <w:sz w:val="24"/>
              </w:rPr>
            </w:pPr>
            <w:r>
              <w:rPr>
                <w:rFonts w:hint="eastAsia" w:ascii="Times New Roman" w:hAnsi="Times New Roman" w:eastAsia="仿宋_GB2312" w:cs="Arial"/>
                <w:b/>
                <w:bCs/>
                <w:color w:val="000000"/>
                <w:kern w:val="0"/>
                <w:sz w:val="28"/>
                <w:szCs w:val="28"/>
              </w:rPr>
              <w:t>现有基础</w:t>
            </w:r>
            <w:r>
              <w:rPr>
                <w:rFonts w:hint="eastAsia" w:ascii="Times New Roman" w:hAnsi="Times New Roman" w:eastAsia="仿宋_GB2312" w:cs="Arial"/>
                <w:color w:val="000000"/>
                <w:kern w:val="0"/>
                <w:sz w:val="24"/>
              </w:rPr>
              <w:t>（已经开展的工作、所处阶段、当前的技术成果等，为参赛团队提供可参考的技术路径）</w:t>
            </w:r>
          </w:p>
          <w:p w14:paraId="1B197B76">
            <w:pPr>
              <w:widowControl/>
              <w:numPr>
                <w:ilvl w:val="0"/>
                <w:numId w:val="3"/>
              </w:numPr>
              <w:rPr>
                <w:rFonts w:hint="default" w:eastAsia="宋体"/>
                <w:lang w:val="en-US" w:eastAsia="zh-CN"/>
              </w:rPr>
            </w:pPr>
            <w:r>
              <w:rPr>
                <w:rFonts w:hint="eastAsia" w:ascii="Times New Roman" w:hAnsi="Times New Roman" w:eastAsia="仿宋_GB2312" w:cs="Arial"/>
                <w:color w:val="000000"/>
                <w:kern w:val="0"/>
                <w:sz w:val="24"/>
                <w:szCs w:val="24"/>
                <w:lang w:val="en-US" w:eastAsia="zh-CN" w:bidi="ar-SA"/>
              </w:rPr>
              <w:t>当前主要基于金融产品的基本要求对客户的基本属性进行限制然后进行广撒网式的营销，在营销结果收集后分析客户基础属性计算出最高响应率客群进行下一轮圈选再营销。</w:t>
            </w:r>
          </w:p>
          <w:p w14:paraId="6B08573C">
            <w:pPr>
              <w:widowControl/>
              <w:numPr>
                <w:ilvl w:val="0"/>
                <w:numId w:val="3"/>
              </w:numPr>
              <w:rPr>
                <w:rFonts w:hint="default" w:eastAsia="宋体"/>
                <w:lang w:val="en-US" w:eastAsia="zh-CN"/>
              </w:rPr>
            </w:pPr>
            <w:r>
              <w:rPr>
                <w:rFonts w:hint="eastAsia" w:ascii="Times New Roman" w:hAnsi="Times New Roman" w:eastAsia="仿宋_GB2312" w:cs="Arial"/>
                <w:color w:val="000000"/>
                <w:kern w:val="0"/>
                <w:sz w:val="24"/>
                <w:szCs w:val="24"/>
                <w:lang w:val="en-US" w:eastAsia="zh-CN" w:bidi="ar-SA"/>
              </w:rPr>
              <w:t>针对已持有产品，进行维护活跃度的营销时，基于客户近期的交易/登录/使用的频率（金额）进行分层构建活跃度标签，针对有下滑的情况进行权益触达或活动推送，用以维持活跃度。目前针对圈选活跃客群的分析常使用的方法是最优决策树分段以及因果推断。</w:t>
            </w:r>
          </w:p>
        </w:tc>
      </w:tr>
      <w:tr w14:paraId="7BD5F9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06DA2D93">
            <w:pPr>
              <w:widowControl/>
              <w:rPr>
                <w:rFonts w:hint="eastAsia"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b/>
                <w:bCs/>
                <w:color w:val="000000"/>
                <w:kern w:val="0"/>
                <w:sz w:val="28"/>
                <w:szCs w:val="28"/>
              </w:rPr>
              <w:t>任务目标</w:t>
            </w:r>
            <w:r>
              <w:rPr>
                <w:rFonts w:hint="eastAsia" w:ascii="Times New Roman" w:hAnsi="Times New Roman" w:eastAsia="仿宋_GB2312" w:cs="Arial"/>
                <w:color w:val="000000"/>
                <w:kern w:val="0"/>
                <w:sz w:val="24"/>
              </w:rPr>
              <w:t>（须填写明确的技术指标参数、预期目标及成果交付形式，应包含总体目标以及每项攻关任务明确的技术指标及交付成果）</w:t>
            </w:r>
          </w:p>
          <w:p w14:paraId="23D768DC">
            <w:pPr>
              <w:pStyle w:val="2"/>
              <w:numPr>
                <w:ilvl w:val="0"/>
                <w:numId w:val="4"/>
              </w:numPr>
              <w:ind w:left="0" w:leftChars="0" w:firstLine="0" w:firstLineChars="0"/>
              <w:rPr>
                <w:rFonts w:hint="eastAsia"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根据客户基本属性及金融业务积累数据建设营销推荐模型，要求给出第一次推荐的预测结果，并在第一次预测结果获取后，根据事实与预测的偏差（准确-不准确）的情况给出第二次的推荐结果，要求交付模型或策略时对最近一次营销策略结果的影响对下一步预测的影响进行说明，要求两步推荐策略的准确率较一步推进策略准确率提升50%及以上；</w:t>
            </w:r>
          </w:p>
          <w:p w14:paraId="6CFCEBC3">
            <w:pPr>
              <w:pStyle w:val="2"/>
              <w:numPr>
                <w:ilvl w:val="0"/>
                <w:numId w:val="4"/>
              </w:numPr>
              <w:ind w:left="0" w:leftChars="0" w:firstLine="0" w:firstLineChars="0"/>
              <w:rPr>
                <w:rFonts w:hint="eastAsia"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根据营销模型构建过程，针对客户进行基于营销成功记录前的两个事件特征构建样本，根据营销成功标记正样本，请自行构建负样本，说明构建策略及合理性，基于样本建设营销可能性模型，对入模特征的重要性进行分析，请尽可能从业务理解或者行为的角度给高权重特征一些描述；</w:t>
            </w:r>
          </w:p>
          <w:p w14:paraId="6079B91D">
            <w:pPr>
              <w:pStyle w:val="2"/>
              <w:numPr>
                <w:ilvl w:val="0"/>
                <w:numId w:val="4"/>
              </w:numPr>
              <w:ind w:left="0" w:leftChars="0" w:firstLine="0" w:firstLineChars="0"/>
              <w:rPr>
                <w:rFonts w:hint="eastAsia"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基于给出的新产品的属性，给出推荐营销的客户清单，需要给出新产品在产品属性上与存量产品的关系，讨论是否存在冲突以及出现冲突时如何给出推荐产品以提升银行收益。</w:t>
            </w:r>
            <w:bookmarkStart w:id="0" w:name="_GoBack"/>
            <w:bookmarkEnd w:id="0"/>
          </w:p>
          <w:p w14:paraId="74B8047A">
            <w:pPr>
              <w:pStyle w:val="2"/>
              <w:rPr>
                <w:rFonts w:hint="eastAsia"/>
              </w:rPr>
            </w:pPr>
          </w:p>
        </w:tc>
      </w:tr>
      <w:tr w14:paraId="2DF21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9789" w:type="dxa"/>
            <w:gridSpan w:val="6"/>
            <w:noWrap/>
            <w:vAlign w:val="center"/>
          </w:tcPr>
          <w:p w14:paraId="292F450C">
            <w:pPr>
              <w:widowControl/>
              <w:rPr>
                <w:rFonts w:ascii="Times New Roman" w:hAnsi="Times New Roman" w:eastAsia="仿宋_GB2312" w:cs="Arial"/>
                <w:color w:val="000000"/>
                <w:kern w:val="0"/>
                <w:sz w:val="24"/>
              </w:rPr>
            </w:pPr>
            <w:r>
              <w:rPr>
                <w:rFonts w:hint="eastAsia" w:ascii="Times New Roman" w:hAnsi="Times New Roman" w:eastAsia="仿宋_GB2312" w:cs="Arial"/>
                <w:b/>
                <w:bCs/>
                <w:color w:val="000000"/>
                <w:kern w:val="0"/>
                <w:sz w:val="28"/>
                <w:szCs w:val="28"/>
              </w:rPr>
              <w:t>数据集描述</w:t>
            </w:r>
            <w:r>
              <w:rPr>
                <w:rFonts w:hint="eastAsia" w:ascii="Times New Roman" w:hAnsi="Times New Roman" w:eastAsia="仿宋_GB2312" w:cs="Arial"/>
                <w:color w:val="000000"/>
                <w:kern w:val="0"/>
                <w:sz w:val="24"/>
              </w:rPr>
              <w:t>（填写配套数据集的样本量、时间区间、是否真实脱敏数据、是否合成数据等信息，数据字典应以附件形式提供）</w:t>
            </w:r>
          </w:p>
          <w:p w14:paraId="52A86FF4">
            <w:pPr>
              <w:pStyle w:val="2"/>
              <w:rPr>
                <w:rFonts w:hint="eastAsia" w:eastAsia="宋体"/>
                <w:color w:val="A5A5A5"/>
                <w:lang w:val="en-US" w:eastAsia="zh-CN"/>
              </w:rPr>
            </w:pPr>
          </w:p>
          <w:p w14:paraId="25D43449">
            <w:pPr>
              <w:pStyle w:val="2"/>
              <w:numPr>
                <w:ilvl w:val="0"/>
                <w:numId w:val="0"/>
              </w:numPr>
              <w:ind w:leftChars="0"/>
              <w:rPr>
                <w:rFonts w:hint="eastAsia"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样本量为百万级，时间区间2024年全年，为真实脱敏数据（连续型指标做分段处理）。</w:t>
            </w:r>
          </w:p>
          <w:p w14:paraId="46118B5B">
            <w:pPr>
              <w:pStyle w:val="2"/>
              <w:numPr>
                <w:ilvl w:val="0"/>
                <w:numId w:val="0"/>
              </w:numPr>
              <w:ind w:leftChars="0"/>
              <w:rPr>
                <w:rFonts w:hint="default" w:ascii="Times New Roman" w:hAnsi="Times New Roman" w:eastAsia="仿宋_GB2312" w:cs="Arial"/>
                <w:color w:val="000000"/>
                <w:kern w:val="0"/>
                <w:sz w:val="24"/>
                <w:szCs w:val="24"/>
                <w:lang w:val="en-US" w:eastAsia="zh-CN" w:bidi="ar-SA"/>
              </w:rPr>
            </w:pPr>
            <w:r>
              <w:rPr>
                <w:rFonts w:hint="eastAsia" w:ascii="Times New Roman" w:hAnsi="Times New Roman" w:eastAsia="仿宋_GB2312" w:cs="Arial"/>
                <w:color w:val="000000"/>
                <w:kern w:val="0"/>
                <w:sz w:val="24"/>
                <w:szCs w:val="24"/>
                <w:lang w:val="en-US" w:eastAsia="zh-CN" w:bidi="ar-SA"/>
              </w:rPr>
              <w:t>给出客户基本信息表，量级百万级。给出样本客户2024年全年业务事件明细，流水表中业务类型区分信贷、财富、支付、渠道，具体事件区分为开立事件、交易事件、关闭事件、开通绑定事件，给到关联产品，并独立给出产品的属性清单（包含信贷/财富、价格、期限、目标客群覆盖率、是否新产品等），其中开立事件代表新业务，标记为成功样本。</w:t>
            </w:r>
          </w:p>
          <w:p w14:paraId="53AA7EFD">
            <w:pPr>
              <w:pStyle w:val="2"/>
              <w:rPr>
                <w:rFonts w:hint="eastAsia"/>
              </w:rPr>
            </w:pPr>
          </w:p>
        </w:tc>
      </w:tr>
      <w:tr w14:paraId="75C115E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2386" w:type="dxa"/>
            <w:gridSpan w:val="2"/>
            <w:tcBorders>
              <w:top w:val="single" w:color="auto" w:sz="8" w:space="0"/>
              <w:left w:val="single" w:color="auto" w:sz="8" w:space="0"/>
              <w:bottom w:val="single" w:color="auto" w:sz="8" w:space="0"/>
              <w:right w:val="single" w:color="auto" w:sz="8" w:space="0"/>
            </w:tcBorders>
            <w:noWrap/>
            <w:vAlign w:val="center"/>
          </w:tcPr>
          <w:p w14:paraId="0AE7DE4C">
            <w:pPr>
              <w:widowControl/>
              <w:jc w:val="center"/>
              <w:rPr>
                <w:rFonts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是否计划设立</w:t>
            </w:r>
          </w:p>
          <w:p w14:paraId="19F4C7F4">
            <w:pPr>
              <w:widowControl/>
              <w:jc w:val="center"/>
              <w:rPr>
                <w:rFonts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“命题专项奖”</w:t>
            </w:r>
          </w:p>
        </w:tc>
        <w:tc>
          <w:tcPr>
            <w:tcW w:w="7403" w:type="dxa"/>
            <w:gridSpan w:val="4"/>
            <w:tcBorders>
              <w:top w:val="single" w:color="auto" w:sz="8" w:space="0"/>
              <w:left w:val="single" w:color="auto" w:sz="8" w:space="0"/>
              <w:bottom w:val="single" w:color="auto" w:sz="8" w:space="0"/>
              <w:right w:val="single" w:color="auto" w:sz="8" w:space="0"/>
            </w:tcBorders>
            <w:noWrap/>
            <w:vAlign w:val="center"/>
          </w:tcPr>
          <w:p w14:paraId="1C0D7A4D">
            <w:pPr>
              <w:widowControl/>
              <w:rPr>
                <w:rFonts w:hint="eastAsia" w:ascii="Times New Roman" w:hAnsi="Times New Roman" w:eastAsia="仿宋_GB2312" w:cs="Arial"/>
                <w:color w:val="000000"/>
                <w:kern w:val="0"/>
                <w:sz w:val="28"/>
                <w:szCs w:val="28"/>
              </w:rPr>
            </w:pPr>
            <w:r>
              <w:rPr>
                <w:rFonts w:ascii="Times New Roman" w:hAnsi="Times New Roman" w:eastAsia="仿宋_GB2312"/>
                <w:color w:val="000000"/>
                <w:kern w:val="0"/>
                <w:sz w:val="28"/>
                <w:szCs w:val="28"/>
              </w:rPr>
              <w:t>□</w:t>
            </w:r>
            <w:r>
              <w:rPr>
                <w:rFonts w:hint="eastAsia" w:ascii="Times New Roman" w:hAnsi="Times New Roman" w:eastAsia="仿宋_GB2312" w:cs="Arial"/>
                <w:color w:val="000000"/>
                <w:kern w:val="0"/>
                <w:sz w:val="28"/>
                <w:szCs w:val="28"/>
              </w:rPr>
              <w:t>是</w:t>
            </w:r>
            <w:r>
              <w:rPr>
                <w:rFonts w:ascii="Times New Roman" w:hAnsi="Times New Roman" w:eastAsia="仿宋_GB2312" w:cs="Arial"/>
                <w:color w:val="000000"/>
                <w:kern w:val="0"/>
                <w:sz w:val="28"/>
                <w:szCs w:val="28"/>
              </w:rPr>
              <w:t xml:space="preserve"> </w:t>
            </w:r>
            <w:r>
              <w:rPr>
                <w:rFonts w:ascii="Times New Roman" w:hAnsi="Times New Roman" w:eastAsia="仿宋_GB2312"/>
                <w:color w:val="000000"/>
                <w:kern w:val="0"/>
                <w:sz w:val="28"/>
                <w:szCs w:val="28"/>
              </w:rPr>
              <w:t>□</w:t>
            </w:r>
            <w:r>
              <w:rPr>
                <w:rFonts w:hint="eastAsia" w:ascii="Times New Roman" w:hAnsi="Times New Roman" w:eastAsia="仿宋_GB2312" w:cs="Arial"/>
                <w:color w:val="000000"/>
                <w:kern w:val="0"/>
                <w:sz w:val="28"/>
                <w:szCs w:val="28"/>
              </w:rPr>
              <w:t>否</w:t>
            </w:r>
          </w:p>
        </w:tc>
      </w:tr>
      <w:tr w14:paraId="6F90492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0" w:hRule="atLeast"/>
        </w:trPr>
        <w:tc>
          <w:tcPr>
            <w:tcW w:w="2386" w:type="dxa"/>
            <w:gridSpan w:val="2"/>
            <w:tcBorders>
              <w:top w:val="single" w:color="auto" w:sz="8" w:space="0"/>
              <w:left w:val="single" w:color="auto" w:sz="8" w:space="0"/>
              <w:bottom w:val="single" w:color="auto" w:sz="8" w:space="0"/>
              <w:right w:val="single" w:color="auto" w:sz="8" w:space="0"/>
            </w:tcBorders>
            <w:noWrap/>
            <w:vAlign w:val="center"/>
          </w:tcPr>
          <w:p w14:paraId="17ABD915">
            <w:pPr>
              <w:widowControl/>
              <w:jc w:val="center"/>
              <w:rPr>
                <w:rFonts w:ascii="Times New Roman" w:hAnsi="Times New Roman" w:eastAsia="仿宋_GB2312" w:cs="Arial"/>
                <w:b/>
                <w:bCs/>
                <w:color w:val="000000"/>
                <w:kern w:val="0"/>
                <w:sz w:val="28"/>
                <w:szCs w:val="28"/>
              </w:rPr>
            </w:pPr>
            <w:r>
              <w:rPr>
                <w:rFonts w:hint="eastAsia" w:ascii="Times New Roman" w:hAnsi="Times New Roman" w:eastAsia="仿宋_GB2312" w:cs="Arial"/>
                <w:b/>
                <w:bCs/>
                <w:color w:val="000000"/>
                <w:kern w:val="0"/>
                <w:sz w:val="28"/>
                <w:szCs w:val="28"/>
              </w:rPr>
              <w:t>“命题专项奖”</w:t>
            </w:r>
          </w:p>
          <w:p w14:paraId="238116C1">
            <w:pPr>
              <w:widowControl/>
              <w:jc w:val="center"/>
              <w:rPr>
                <w:rFonts w:hint="eastAsia" w:ascii="Times New Roman" w:hAnsi="Times New Roman" w:eastAsia="仿宋_GB2312"/>
              </w:rPr>
            </w:pPr>
            <w:r>
              <w:rPr>
                <w:rFonts w:hint="eastAsia" w:ascii="Times New Roman" w:hAnsi="Times New Roman" w:eastAsia="仿宋_GB2312" w:cs="Arial"/>
                <w:b/>
                <w:bCs/>
                <w:color w:val="000000"/>
                <w:kern w:val="0"/>
                <w:sz w:val="28"/>
                <w:szCs w:val="28"/>
              </w:rPr>
              <w:t>奖项设置信息</w:t>
            </w:r>
          </w:p>
        </w:tc>
        <w:tc>
          <w:tcPr>
            <w:tcW w:w="7403" w:type="dxa"/>
            <w:gridSpan w:val="4"/>
            <w:tcBorders>
              <w:top w:val="single" w:color="auto" w:sz="8" w:space="0"/>
              <w:left w:val="single" w:color="auto" w:sz="8" w:space="0"/>
              <w:bottom w:val="single" w:color="auto" w:sz="8" w:space="0"/>
              <w:right w:val="single" w:color="auto" w:sz="8" w:space="0"/>
            </w:tcBorders>
            <w:noWrap/>
            <w:vAlign w:val="center"/>
          </w:tcPr>
          <w:p w14:paraId="5B10B8D4">
            <w:pPr>
              <w:widowControl/>
              <w:rPr>
                <w:rFonts w:ascii="Times New Roman" w:hAnsi="Times New Roman" w:eastAsia="仿宋_GB2312"/>
                <w:color w:val="000000"/>
                <w:kern w:val="0"/>
                <w:sz w:val="28"/>
                <w:szCs w:val="28"/>
              </w:rPr>
            </w:pPr>
            <w:r>
              <w:rPr>
                <w:rFonts w:hint="eastAsia" w:ascii="Times New Roman" w:hAnsi="Times New Roman" w:eastAsia="仿宋_GB2312"/>
                <w:color w:val="000000"/>
                <w:kern w:val="0"/>
                <w:sz w:val="28"/>
                <w:szCs w:val="28"/>
              </w:rPr>
              <w:t>获奖团队数量（支）：</w:t>
            </w:r>
          </w:p>
          <w:p w14:paraId="4A4CA2E7">
            <w:pPr>
              <w:widowControl/>
              <w:rPr>
                <w:rFonts w:hint="eastAsia" w:ascii="Times New Roman" w:hAnsi="Times New Roman" w:eastAsia="仿宋_GB2312"/>
              </w:rPr>
            </w:pPr>
            <w:r>
              <w:rPr>
                <w:rFonts w:hint="eastAsia" w:ascii="Times New Roman" w:hAnsi="Times New Roman" w:eastAsia="仿宋_GB2312"/>
                <w:color w:val="000000"/>
                <w:kern w:val="0"/>
                <w:sz w:val="28"/>
                <w:szCs w:val="28"/>
              </w:rPr>
              <w:t>获奖团队奖励金额（万元/支）：</w:t>
            </w:r>
          </w:p>
        </w:tc>
      </w:tr>
    </w:tbl>
    <w:p w14:paraId="5B098EE4">
      <w:pPr>
        <w:pStyle w:val="2"/>
        <w:rPr>
          <w:rFonts w:hint="eastAsia" w:ascii="Times New Roman" w:hAnsi="Times New Roman"/>
        </w:rPr>
      </w:pPr>
    </w:p>
    <w:sectPr>
      <w:pgSz w:w="11906" w:h="16838"/>
      <w:pgMar w:top="1191" w:right="1077" w:bottom="1191" w:left="107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C7936"/>
    <w:multiLevelType w:val="singleLevel"/>
    <w:tmpl w:val="905C7936"/>
    <w:lvl w:ilvl="0" w:tentative="0">
      <w:start w:val="1"/>
      <w:numFmt w:val="decimal"/>
      <w:suff w:val="space"/>
      <w:lvlText w:val="%1."/>
      <w:lvlJc w:val="left"/>
    </w:lvl>
  </w:abstractNum>
  <w:abstractNum w:abstractNumId="1">
    <w:nsid w:val="E63C446F"/>
    <w:multiLevelType w:val="singleLevel"/>
    <w:tmpl w:val="E63C446F"/>
    <w:lvl w:ilvl="0" w:tentative="0">
      <w:start w:val="1"/>
      <w:numFmt w:val="decimal"/>
      <w:suff w:val="space"/>
      <w:lvlText w:val="%1."/>
      <w:lvlJc w:val="left"/>
    </w:lvl>
  </w:abstractNum>
  <w:abstractNum w:abstractNumId="2">
    <w:nsid w:val="4B91E163"/>
    <w:multiLevelType w:val="singleLevel"/>
    <w:tmpl w:val="4B91E163"/>
    <w:lvl w:ilvl="0" w:tentative="0">
      <w:start w:val="1"/>
      <w:numFmt w:val="decimal"/>
      <w:suff w:val="space"/>
      <w:lvlText w:val="%1."/>
      <w:lvlJc w:val="left"/>
    </w:lvl>
  </w:abstractNum>
  <w:abstractNum w:abstractNumId="3">
    <w:nsid w:val="4C3424A4"/>
    <w:multiLevelType w:val="singleLevel"/>
    <w:tmpl w:val="4C3424A4"/>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DD1"/>
    <w:rsid w:val="00013051"/>
    <w:rsid w:val="0007129B"/>
    <w:rsid w:val="00077B8F"/>
    <w:rsid w:val="000A038A"/>
    <w:rsid w:val="000A273F"/>
    <w:rsid w:val="000A3BA6"/>
    <w:rsid w:val="000C026F"/>
    <w:rsid w:val="000C3902"/>
    <w:rsid w:val="000F6416"/>
    <w:rsid w:val="001022A3"/>
    <w:rsid w:val="00105646"/>
    <w:rsid w:val="00125B9E"/>
    <w:rsid w:val="00167783"/>
    <w:rsid w:val="00171909"/>
    <w:rsid w:val="001866BE"/>
    <w:rsid w:val="001A2B44"/>
    <w:rsid w:val="001B40B3"/>
    <w:rsid w:val="001C3214"/>
    <w:rsid w:val="001C4849"/>
    <w:rsid w:val="001E2C67"/>
    <w:rsid w:val="002012CC"/>
    <w:rsid w:val="002022A0"/>
    <w:rsid w:val="0021458A"/>
    <w:rsid w:val="0022020D"/>
    <w:rsid w:val="00227668"/>
    <w:rsid w:val="00232F31"/>
    <w:rsid w:val="00237941"/>
    <w:rsid w:val="00240278"/>
    <w:rsid w:val="002432AE"/>
    <w:rsid w:val="00255566"/>
    <w:rsid w:val="00262BD9"/>
    <w:rsid w:val="00263D73"/>
    <w:rsid w:val="002704D8"/>
    <w:rsid w:val="0027767E"/>
    <w:rsid w:val="00277C1B"/>
    <w:rsid w:val="0028010B"/>
    <w:rsid w:val="00296D8B"/>
    <w:rsid w:val="002A4210"/>
    <w:rsid w:val="002B06C6"/>
    <w:rsid w:val="002B538B"/>
    <w:rsid w:val="002C44E2"/>
    <w:rsid w:val="002C770E"/>
    <w:rsid w:val="002E4885"/>
    <w:rsid w:val="002E799B"/>
    <w:rsid w:val="002F74D4"/>
    <w:rsid w:val="00323580"/>
    <w:rsid w:val="0034490B"/>
    <w:rsid w:val="00347F6F"/>
    <w:rsid w:val="00355572"/>
    <w:rsid w:val="00356F31"/>
    <w:rsid w:val="0037009D"/>
    <w:rsid w:val="00372FF3"/>
    <w:rsid w:val="00382443"/>
    <w:rsid w:val="003B066A"/>
    <w:rsid w:val="003C0F2C"/>
    <w:rsid w:val="003C5C7F"/>
    <w:rsid w:val="003D51F9"/>
    <w:rsid w:val="003D682C"/>
    <w:rsid w:val="003E6DCB"/>
    <w:rsid w:val="003F01F4"/>
    <w:rsid w:val="00401A3C"/>
    <w:rsid w:val="00410600"/>
    <w:rsid w:val="00415D00"/>
    <w:rsid w:val="00422BF0"/>
    <w:rsid w:val="00450A4E"/>
    <w:rsid w:val="004527AB"/>
    <w:rsid w:val="004550EA"/>
    <w:rsid w:val="004639A6"/>
    <w:rsid w:val="00474B09"/>
    <w:rsid w:val="0048250A"/>
    <w:rsid w:val="004831C5"/>
    <w:rsid w:val="0049080D"/>
    <w:rsid w:val="004A2166"/>
    <w:rsid w:val="004D01FF"/>
    <w:rsid w:val="004E04C0"/>
    <w:rsid w:val="004E640D"/>
    <w:rsid w:val="004F53A8"/>
    <w:rsid w:val="00501314"/>
    <w:rsid w:val="00520A81"/>
    <w:rsid w:val="00576F1C"/>
    <w:rsid w:val="00584DD1"/>
    <w:rsid w:val="00587B73"/>
    <w:rsid w:val="0059276D"/>
    <w:rsid w:val="005941F5"/>
    <w:rsid w:val="005B0D9F"/>
    <w:rsid w:val="005B3941"/>
    <w:rsid w:val="005D6C41"/>
    <w:rsid w:val="005E1F9C"/>
    <w:rsid w:val="005F049B"/>
    <w:rsid w:val="005F13D5"/>
    <w:rsid w:val="005F79CA"/>
    <w:rsid w:val="006139CA"/>
    <w:rsid w:val="006274B5"/>
    <w:rsid w:val="00631C94"/>
    <w:rsid w:val="00653629"/>
    <w:rsid w:val="0066069C"/>
    <w:rsid w:val="006B0C8D"/>
    <w:rsid w:val="006B4F79"/>
    <w:rsid w:val="006B667B"/>
    <w:rsid w:val="006D4449"/>
    <w:rsid w:val="006F36C5"/>
    <w:rsid w:val="0072238C"/>
    <w:rsid w:val="0073312F"/>
    <w:rsid w:val="0074190D"/>
    <w:rsid w:val="00742172"/>
    <w:rsid w:val="00745BF5"/>
    <w:rsid w:val="00753A35"/>
    <w:rsid w:val="00760EEE"/>
    <w:rsid w:val="00764E3B"/>
    <w:rsid w:val="007668B6"/>
    <w:rsid w:val="00784B2A"/>
    <w:rsid w:val="007A056E"/>
    <w:rsid w:val="007A73E6"/>
    <w:rsid w:val="007B23EC"/>
    <w:rsid w:val="007B36BB"/>
    <w:rsid w:val="007B36F0"/>
    <w:rsid w:val="007B641F"/>
    <w:rsid w:val="007D194F"/>
    <w:rsid w:val="007D74C6"/>
    <w:rsid w:val="007E08D6"/>
    <w:rsid w:val="00812E50"/>
    <w:rsid w:val="00813A41"/>
    <w:rsid w:val="00815667"/>
    <w:rsid w:val="00823DE5"/>
    <w:rsid w:val="008263CF"/>
    <w:rsid w:val="00827B2F"/>
    <w:rsid w:val="00851CA7"/>
    <w:rsid w:val="00863554"/>
    <w:rsid w:val="008834FA"/>
    <w:rsid w:val="008A1368"/>
    <w:rsid w:val="008C23BD"/>
    <w:rsid w:val="008E61A9"/>
    <w:rsid w:val="008F1006"/>
    <w:rsid w:val="00913117"/>
    <w:rsid w:val="0091432D"/>
    <w:rsid w:val="00914881"/>
    <w:rsid w:val="009172B5"/>
    <w:rsid w:val="00923F88"/>
    <w:rsid w:val="009240F1"/>
    <w:rsid w:val="00924540"/>
    <w:rsid w:val="00932B59"/>
    <w:rsid w:val="00935E40"/>
    <w:rsid w:val="00940678"/>
    <w:rsid w:val="0096498C"/>
    <w:rsid w:val="009A00CA"/>
    <w:rsid w:val="009A10AC"/>
    <w:rsid w:val="009B1F12"/>
    <w:rsid w:val="009C099B"/>
    <w:rsid w:val="009C0AD3"/>
    <w:rsid w:val="009E2762"/>
    <w:rsid w:val="009E2950"/>
    <w:rsid w:val="009F58F4"/>
    <w:rsid w:val="00A06354"/>
    <w:rsid w:val="00A07150"/>
    <w:rsid w:val="00A15B8B"/>
    <w:rsid w:val="00A16A22"/>
    <w:rsid w:val="00A24B2E"/>
    <w:rsid w:val="00A27E42"/>
    <w:rsid w:val="00A413D9"/>
    <w:rsid w:val="00A62B2A"/>
    <w:rsid w:val="00A81D8F"/>
    <w:rsid w:val="00A837BE"/>
    <w:rsid w:val="00B329D5"/>
    <w:rsid w:val="00B34BAF"/>
    <w:rsid w:val="00B3611F"/>
    <w:rsid w:val="00B37A94"/>
    <w:rsid w:val="00B44542"/>
    <w:rsid w:val="00B5516E"/>
    <w:rsid w:val="00B84749"/>
    <w:rsid w:val="00B96DCD"/>
    <w:rsid w:val="00BA0C02"/>
    <w:rsid w:val="00BB509C"/>
    <w:rsid w:val="00BD0A9A"/>
    <w:rsid w:val="00BE2D2E"/>
    <w:rsid w:val="00BF2043"/>
    <w:rsid w:val="00BF72D6"/>
    <w:rsid w:val="00C17A6E"/>
    <w:rsid w:val="00C211E2"/>
    <w:rsid w:val="00C23CB0"/>
    <w:rsid w:val="00C27769"/>
    <w:rsid w:val="00C37BA7"/>
    <w:rsid w:val="00C41F48"/>
    <w:rsid w:val="00C54FEC"/>
    <w:rsid w:val="00C643DB"/>
    <w:rsid w:val="00C73966"/>
    <w:rsid w:val="00C87873"/>
    <w:rsid w:val="00C93967"/>
    <w:rsid w:val="00C97AB1"/>
    <w:rsid w:val="00CA03AF"/>
    <w:rsid w:val="00CA5E8C"/>
    <w:rsid w:val="00CB7E19"/>
    <w:rsid w:val="00CC78C3"/>
    <w:rsid w:val="00CD1082"/>
    <w:rsid w:val="00CD1A50"/>
    <w:rsid w:val="00CD3B28"/>
    <w:rsid w:val="00CD6767"/>
    <w:rsid w:val="00CE7401"/>
    <w:rsid w:val="00CE7A52"/>
    <w:rsid w:val="00CE7BA3"/>
    <w:rsid w:val="00D04987"/>
    <w:rsid w:val="00D12A9E"/>
    <w:rsid w:val="00D15FA8"/>
    <w:rsid w:val="00D25729"/>
    <w:rsid w:val="00D36811"/>
    <w:rsid w:val="00D44E4B"/>
    <w:rsid w:val="00D4546B"/>
    <w:rsid w:val="00D47AD1"/>
    <w:rsid w:val="00D54F57"/>
    <w:rsid w:val="00D60E91"/>
    <w:rsid w:val="00D6310B"/>
    <w:rsid w:val="00D6442A"/>
    <w:rsid w:val="00D96DCE"/>
    <w:rsid w:val="00DA5468"/>
    <w:rsid w:val="00DC0537"/>
    <w:rsid w:val="00DC39D5"/>
    <w:rsid w:val="00DC3AA0"/>
    <w:rsid w:val="00DE67FA"/>
    <w:rsid w:val="00DF4E04"/>
    <w:rsid w:val="00E12C94"/>
    <w:rsid w:val="00E22685"/>
    <w:rsid w:val="00E22D4C"/>
    <w:rsid w:val="00E349AC"/>
    <w:rsid w:val="00E4233F"/>
    <w:rsid w:val="00E438F3"/>
    <w:rsid w:val="00E47203"/>
    <w:rsid w:val="00E6052F"/>
    <w:rsid w:val="00E63FF5"/>
    <w:rsid w:val="00E737D4"/>
    <w:rsid w:val="00E778CB"/>
    <w:rsid w:val="00E86AA7"/>
    <w:rsid w:val="00E86C24"/>
    <w:rsid w:val="00E974D7"/>
    <w:rsid w:val="00EB2BEB"/>
    <w:rsid w:val="00EB4796"/>
    <w:rsid w:val="00EC08E1"/>
    <w:rsid w:val="00ED009B"/>
    <w:rsid w:val="00EE0861"/>
    <w:rsid w:val="00EF29FA"/>
    <w:rsid w:val="00F00D58"/>
    <w:rsid w:val="00F12837"/>
    <w:rsid w:val="00F25BA3"/>
    <w:rsid w:val="00F341AF"/>
    <w:rsid w:val="00F3428A"/>
    <w:rsid w:val="00F5637F"/>
    <w:rsid w:val="00F6156D"/>
    <w:rsid w:val="00F62242"/>
    <w:rsid w:val="00F67984"/>
    <w:rsid w:val="00FA4B2B"/>
    <w:rsid w:val="00FB4605"/>
    <w:rsid w:val="00FC0205"/>
    <w:rsid w:val="00FC0F2D"/>
    <w:rsid w:val="00FC6778"/>
    <w:rsid w:val="00FD17FE"/>
    <w:rsid w:val="00FD19B6"/>
    <w:rsid w:val="00FD52B9"/>
    <w:rsid w:val="00FE11DB"/>
    <w:rsid w:val="00FE47C8"/>
    <w:rsid w:val="00FE79F5"/>
    <w:rsid w:val="00FF3718"/>
    <w:rsid w:val="0C9E59F5"/>
    <w:rsid w:val="110C35AE"/>
    <w:rsid w:val="17187430"/>
    <w:rsid w:val="1ADE10E8"/>
    <w:rsid w:val="261F0CAE"/>
    <w:rsid w:val="32DA0179"/>
    <w:rsid w:val="3D3D3861"/>
    <w:rsid w:val="412719D3"/>
    <w:rsid w:val="41AC37F3"/>
    <w:rsid w:val="41B102F7"/>
    <w:rsid w:val="46995DF8"/>
    <w:rsid w:val="47C92DF9"/>
    <w:rsid w:val="48716C0D"/>
    <w:rsid w:val="4D6E2F78"/>
    <w:rsid w:val="4E2B424C"/>
    <w:rsid w:val="4F1749E8"/>
    <w:rsid w:val="52680CC3"/>
    <w:rsid w:val="54436D70"/>
    <w:rsid w:val="5A9F175C"/>
    <w:rsid w:val="5D513474"/>
    <w:rsid w:val="5DF04CA7"/>
    <w:rsid w:val="61B307DB"/>
    <w:rsid w:val="641414C0"/>
    <w:rsid w:val="65374BED"/>
    <w:rsid w:val="665037F6"/>
    <w:rsid w:val="680C557B"/>
    <w:rsid w:val="6E280B6B"/>
    <w:rsid w:val="6EAF3E79"/>
    <w:rsid w:val="721376CE"/>
    <w:rsid w:val="78D9422F"/>
    <w:rsid w:val="7CF20CA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endnote text"/>
    <w:basedOn w:val="1"/>
    <w:link w:val="11"/>
    <w:qFormat/>
    <w:uiPriority w:val="99"/>
  </w:style>
  <w:style w:type="paragraph" w:styleId="3">
    <w:name w:val="Balloon Text"/>
    <w:basedOn w:val="1"/>
    <w:link w:val="12"/>
    <w:qFormat/>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0">
    <w:name w:val="Hyperlink"/>
    <w:qFormat/>
    <w:uiPriority w:val="0"/>
    <w:rPr>
      <w:color w:val="0000FF"/>
      <w:u w:val="single"/>
    </w:rPr>
  </w:style>
  <w:style w:type="character" w:customStyle="1" w:styleId="11">
    <w:name w:val="尾注文本 字符"/>
    <w:link w:val="2"/>
    <w:qFormat/>
    <w:uiPriority w:val="99"/>
    <w:rPr>
      <w:rFonts w:ascii="Calibri" w:hAnsi="Calibri"/>
      <w:kern w:val="2"/>
      <w:sz w:val="21"/>
      <w:szCs w:val="24"/>
    </w:rPr>
  </w:style>
  <w:style w:type="character" w:customStyle="1" w:styleId="12">
    <w:name w:val="批注框文本 字符"/>
    <w:link w:val="3"/>
    <w:qFormat/>
    <w:uiPriority w:val="0"/>
    <w:rPr>
      <w:rFonts w:ascii="Calibri" w:hAnsi="Calibri"/>
      <w:kern w:val="2"/>
      <w:sz w:val="18"/>
      <w:szCs w:val="18"/>
    </w:rPr>
  </w:style>
  <w:style w:type="character" w:customStyle="1" w:styleId="13">
    <w:name w:val="页脚 字符"/>
    <w:link w:val="4"/>
    <w:qFormat/>
    <w:uiPriority w:val="0"/>
    <w:rPr>
      <w:rFonts w:ascii="Calibri" w:hAnsi="Calibri"/>
      <w:kern w:val="2"/>
      <w:sz w:val="18"/>
      <w:szCs w:val="18"/>
    </w:rPr>
  </w:style>
  <w:style w:type="character" w:customStyle="1" w:styleId="14">
    <w:name w:val="页眉 字符"/>
    <w:link w:val="5"/>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1641</Words>
  <Characters>1691</Characters>
  <Lines>3</Lines>
  <Paragraphs>1</Paragraphs>
  <TotalTime>599</TotalTime>
  <ScaleCrop>false</ScaleCrop>
  <LinksUpToDate>false</LinksUpToDate>
  <CharactersWithSpaces>1697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2025-05-27T04:55:00Z</dcterms:created>
  <dc:creator>Administrator</dc:creator>
  <cp:lastModifiedBy>胡誉馨</cp:lastModifiedBy>
  <cp:lastPrinted>2025-01-13T05:19:00Z</cp:lastPrinted>
  <dcterms:modified xsi:type="dcterms:W3CDTF">2025-06-25T05:56:38Z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A1E028692A2C488E82F7FB6EABF86EC8_13</vt:lpwstr>
  </property>
  <property fmtid="{D5CDD505-2E9C-101B-9397-08002B2CF9AE}" pid="4" name="KSOTemplateDocerSaveRecord">
    <vt:lpwstr>eyJoZGlkIjoiYTc2ZGZiNzZiNDVlOGViOWVmM2JhOTY0NGJkNjUyYzgiLCJ1c2VySWQiOiIzMDQ0MzQ1NjYifQ==</vt:lpwstr>
  </property>
</Properties>
</file>