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736cd57cb46384ef50306b28f2d615db585e506"/>
    <w:p>
      <w:pPr>
        <w:pStyle w:val="Heading1"/>
      </w:pPr>
      <w:r>
        <w:t xml:space="preserve">AI Projects and Contributions at Videns (Jul–Nov 2025)</w:t>
      </w:r>
    </w:p>
    <w:bookmarkStart w:id="25" w:name="X7f3b1a7d891762428dc961d15beccaa5938694a"/>
    <w:p>
      <w:pPr>
        <w:pStyle w:val="Heading2"/>
      </w:pPr>
      <w:r>
        <w:t xml:space="preserve">AI Strategy and Use Case Roadmap for LGI Healthcare Solutions (Novacap Portfolio)</w:t>
      </w:r>
    </w:p>
    <w:p>
      <w:pPr>
        <w:pStyle w:val="FirstParagraph"/>
      </w:pPr>
      <w:r>
        <w:t xml:space="preserve">Upon joining Videns in late July 2025, I took on a lead role in an AI transformation project for</w:t>
      </w:r>
      <w:r>
        <w:t xml:space="preserve"> </w:t>
      </w:r>
      <w:r>
        <w:rPr>
          <w:b/>
          <w:bCs/>
        </w:rPr>
        <w:t xml:space="preserve">LGI Healthcare Solutions</w:t>
      </w:r>
      <w:r>
        <w:t xml:space="preserve">, a healthcare software provider recently acquired by Novacap. In this engagement, I helped</w:t>
      </w:r>
      <w:r>
        <w:t xml:space="preserve"> </w:t>
      </w:r>
      <w:r>
        <w:rPr>
          <w:b/>
          <w:bCs/>
        </w:rPr>
        <w:t xml:space="preserve">analyze and prioritize AI use cases</w:t>
      </w:r>
      <w:r>
        <w:t xml:space="preserve"> </w:t>
      </w:r>
      <w:r>
        <w:t xml:space="preserve">and formulate a multi-phase</w:t>
      </w:r>
      <w:r>
        <w:t xml:space="preserve"> </w:t>
      </w:r>
      <w:r>
        <w:rPr>
          <w:b/>
          <w:bCs/>
        </w:rPr>
        <w:t xml:space="preserve">AI adoption roadmap</w:t>
      </w:r>
      <w:r>
        <w:t xml:space="preserve"> </w:t>
      </w:r>
      <w:r>
        <w:t xml:space="preserve">for the client’s products and internal operations. Working closely with Videns colleagues and LGI stakeholders, I bridged business needs with technical possibilities to drive a comprehensive AI strategy.</w:t>
      </w:r>
    </w:p>
    <w:p>
      <w:pPr>
        <w:numPr>
          <w:ilvl w:val="0"/>
          <w:numId w:val="1001"/>
        </w:numPr>
      </w:pPr>
      <w:r>
        <w:rPr>
          <w:b/>
          <w:bCs/>
        </w:rPr>
        <w:t xml:space="preserve">Use Case Discovery &amp; Feasibility:</w:t>
      </w:r>
      <w:r>
        <w:t xml:space="preserve"> </w:t>
      </w:r>
      <w:r>
        <w:t xml:space="preserve">I collaborated in identifying dozens of potential AI use cases across LGI’s hospital management systems (product use cases) and internal processes. For each idea, I assessed its business value, data requirements, and technical feasibility. We documented these in Excel and presented a synthesis to the client</w:t>
      </w:r>
      <w:hyperlink r:id="rId21">
        <w:r>
          <w:rPr>
            <w:rStyle w:val="Hyperlink"/>
          </w:rPr>
          <w:t xml:space="preserve">[1]</w:t>
        </w:r>
      </w:hyperlink>
      <w:r>
        <w:t xml:space="preserve">. For example, I helped compile an</w:t>
      </w:r>
      <w:r>
        <w:t xml:space="preserve"> </w:t>
      </w:r>
      <w:r>
        <w:rPr>
          <w:b/>
          <w:bCs/>
        </w:rPr>
        <w:t xml:space="preserve">Excel inventory of AI opportunities</w:t>
      </w:r>
      <w:r>
        <w:t xml:space="preserve"> </w:t>
      </w:r>
      <w:r>
        <w:t xml:space="preserve">along with a PowerPoint summary of findings for both the product and internal “streams”</w:t>
      </w:r>
      <w:hyperlink r:id="rId21">
        <w:r>
          <w:rPr>
            <w:rStyle w:val="Hyperlink"/>
          </w:rPr>
          <w:t xml:space="preserve">[2]</w:t>
        </w:r>
      </w:hyperlink>
      <w:hyperlink r:id="rId22">
        <w:r>
          <w:rPr>
            <w:rStyle w:val="Hyperlink"/>
          </w:rPr>
          <w:t xml:space="preserve">[3]</w:t>
        </w:r>
      </w:hyperlink>
      <w:r>
        <w:t xml:space="preserve">. I contributed my AI expertise to estimate implementation effort (“t-shirt sizing”) and to score each use case’s potential impact. This allowed us to</w:t>
      </w:r>
      <w:r>
        <w:t xml:space="preserve"> </w:t>
      </w:r>
      <w:r>
        <w:rPr>
          <w:b/>
          <w:bCs/>
        </w:rPr>
        <w:t xml:space="preserve">prioritize high-value, moderate-effort use cases</w:t>
      </w:r>
      <w:r>
        <w:t xml:space="preserve"> </w:t>
      </w:r>
      <w:r>
        <w:t xml:space="preserve">(as later confirmed by client leadership’s prioritization</w:t>
      </w:r>
      <w:hyperlink r:id="rId21">
        <w:r>
          <w:rPr>
            <w:rStyle w:val="Hyperlink"/>
          </w:rPr>
          <w:t xml:space="preserve">[4]</w:t>
        </w:r>
      </w:hyperlink>
      <w:r>
        <w:t xml:space="preserve">). I also outlined next steps for deeper analysis, such as evaluating technical risks and ROI in follow-up workshops</w:t>
      </w:r>
      <w:hyperlink r:id="rId21">
        <w:r>
          <w:rPr>
            <w:rStyle w:val="Hyperlink"/>
          </w:rPr>
          <w:t xml:space="preserve">[5]</w:t>
        </w:r>
      </w:hyperlink>
      <w:r>
        <w:t xml:space="preserve">.</w:t>
      </w:r>
    </w:p>
    <w:p>
      <w:pPr>
        <w:numPr>
          <w:ilvl w:val="0"/>
          <w:numId w:val="1001"/>
        </w:numPr>
      </w:pPr>
      <w:r>
        <w:rPr>
          <w:b/>
          <w:bCs/>
        </w:rPr>
        <w:t xml:space="preserve">Technical Evaluation &amp; Architecture:</w:t>
      </w:r>
      <w:r>
        <w:t xml:space="preserve"> </w:t>
      </w:r>
      <w:r>
        <w:t xml:space="preserve">For top-priority use cases, I provided a deeper technical assessment. In one instance, I added a new</w:t>
      </w:r>
      <w:r>
        <w:t xml:space="preserve"> </w:t>
      </w:r>
      <w:r>
        <w:rPr>
          <w:b/>
          <w:bCs/>
        </w:rPr>
        <w:t xml:space="preserve">“POC Architecture” column to the use case analysis</w:t>
      </w:r>
      <w:r>
        <w:t xml:space="preserve"> </w:t>
      </w:r>
      <w:r>
        <w:t xml:space="preserve">to sketch how a proof-of-concept solution might be architected</w:t>
      </w:r>
      <w:hyperlink r:id="rId22">
        <w:r>
          <w:rPr>
            <w:rStyle w:val="Hyperlink"/>
          </w:rPr>
          <w:t xml:space="preserve">[6]</w:t>
        </w:r>
      </w:hyperlink>
      <w:r>
        <w:t xml:space="preserve">. This involved describing at a high level which AI components, data sources, and integrations would be needed (even though specific solutions weren’t chosen yet</w:t>
      </w:r>
      <w:hyperlink r:id="rId22">
        <w:r>
          <w:rPr>
            <w:rStyle w:val="Hyperlink"/>
          </w:rPr>
          <w:t xml:space="preserve">[6]</w:t>
        </w:r>
      </w:hyperlink>
      <w:r>
        <w:t xml:space="preserve">). For example, one high-priority case was</w:t>
      </w:r>
      <w:r>
        <w:t xml:space="preserve"> </w:t>
      </w:r>
      <w:r>
        <w:rPr>
          <w:b/>
          <w:bCs/>
        </w:rPr>
        <w:t xml:space="preserve">optimizing patient flow in hospitals</w:t>
      </w:r>
      <w:r>
        <w:t xml:space="preserve">. I identified opportunities to apply real-time data orchestration and predictive analytics: automating alerts/notifications, adding a predictive “overlay” layer to coordinate bed management and patient transfers, and AI-driven decision support for inter-hospital transfers</w:t>
      </w:r>
      <w:hyperlink r:id="rId23">
        <w:r>
          <w:rPr>
            <w:rStyle w:val="Hyperlink"/>
          </w:rPr>
          <w:t xml:space="preserve">[7]</w:t>
        </w:r>
      </w:hyperlink>
      <w:r>
        <w:t xml:space="preserve">. Another use case focused on enhancing LGI’s</w:t>
      </w:r>
      <w:r>
        <w:t xml:space="preserve"> </w:t>
      </w:r>
      <w:r>
        <w:rPr>
          <w:b/>
          <w:bCs/>
        </w:rPr>
        <w:t xml:space="preserve">RPA (Robotic Process Automation) system</w:t>
      </w:r>
      <w:r>
        <w:t xml:space="preserve"> </w:t>
      </w:r>
      <w:r>
        <w:t xml:space="preserve">with AI. I proposed integrating NLP and</w:t>
      </w:r>
      <w:r>
        <w:t xml:space="preserve"> </w:t>
      </w:r>
      <w:r>
        <w:rPr>
          <w:b/>
          <w:bCs/>
        </w:rPr>
        <w:t xml:space="preserve">Large Language Models (LLMs)</w:t>
      </w:r>
      <w:r>
        <w:t xml:space="preserve"> </w:t>
      </w:r>
      <w:r>
        <w:t xml:space="preserve">to enable the RPA to read and understand unstructured documents (PDFs, faxes, forms) and even generate summaries or text as needed</w:t>
      </w:r>
      <w:hyperlink r:id="rId23">
        <w:r>
          <w:rPr>
            <w:rStyle w:val="Hyperlink"/>
          </w:rPr>
          <w:t xml:space="preserve">[8]</w:t>
        </w:r>
      </w:hyperlink>
      <w:r>
        <w:t xml:space="preserve">. These technical insights – e.g. suggesting predictive orchestration for patient logistics and using LLMs to boost automation – were directly incorporated into the client discussions and planning. I also helped formulate critical questions about system integration, data governance, and security (for instance, how to handle sensitive data and two-factor authentication in AI-driven workflows) to guide the client’s requirements</w:t>
      </w:r>
      <w:hyperlink r:id="rId23">
        <w:r>
          <w:rPr>
            <w:rStyle w:val="Hyperlink"/>
          </w:rPr>
          <w:t xml:space="preserve">[9]</w:t>
        </w:r>
      </w:hyperlink>
      <w:r>
        <w:t xml:space="preserve">.</w:t>
      </w:r>
    </w:p>
    <w:p>
      <w:pPr>
        <w:numPr>
          <w:ilvl w:val="0"/>
          <w:numId w:val="1001"/>
        </w:numPr>
      </w:pPr>
      <w:r>
        <w:rPr>
          <w:b/>
          <w:bCs/>
        </w:rPr>
        <w:t xml:space="preserve">Roadmap &amp; Phased Implementation:</w:t>
      </w:r>
      <w:r>
        <w:t xml:space="preserve"> </w:t>
      </w:r>
      <w:r>
        <w:t xml:space="preserve">Leveraging the above analysis, I co-developed a</w:t>
      </w:r>
      <w:r>
        <w:t xml:space="preserve"> </w:t>
      </w:r>
      <w:r>
        <w:rPr>
          <w:b/>
          <w:bCs/>
        </w:rPr>
        <w:t xml:space="preserve">phased AI roadmap</w:t>
      </w:r>
      <w:r>
        <w:t xml:space="preserve"> </w:t>
      </w:r>
      <w:r>
        <w:t xml:space="preserve">for LGI. The roadmap was structured into</w:t>
      </w:r>
      <w:r>
        <w:t xml:space="preserve"> </w:t>
      </w:r>
      <w:r>
        <w:rPr>
          <w:b/>
          <w:bCs/>
        </w:rPr>
        <w:t xml:space="preserve">multiple “volets” (phases)</w:t>
      </w:r>
      <w:r>
        <w:t xml:space="preserve"> </w:t>
      </w:r>
      <w:r>
        <w:t xml:space="preserve">aligning with the client’s strategic priorities.</w:t>
      </w:r>
      <w:r>
        <w:t xml:space="preserve"> </w:t>
      </w:r>
      <w:r>
        <w:rPr>
          <w:b/>
          <w:bCs/>
        </w:rPr>
        <w:t xml:space="preserve">Volet 1</w:t>
      </w:r>
      <w:r>
        <w:t xml:space="preserve"> </w:t>
      </w:r>
      <w:r>
        <w:t xml:space="preserve">centered on quick wins and foundational steps,</w:t>
      </w:r>
      <w:r>
        <w:t xml:space="preserve"> </w:t>
      </w:r>
      <w:r>
        <w:rPr>
          <w:b/>
          <w:bCs/>
        </w:rPr>
        <w:t xml:space="preserve">Volet 2</w:t>
      </w:r>
      <w:r>
        <w:t xml:space="preserve"> </w:t>
      </w:r>
      <w:r>
        <w:t xml:space="preserve">on deeper solution development, and</w:t>
      </w:r>
      <w:r>
        <w:t xml:space="preserve"> </w:t>
      </w:r>
      <w:r>
        <w:rPr>
          <w:b/>
          <w:bCs/>
        </w:rPr>
        <w:t xml:space="preserve">Volet 3</w:t>
      </w:r>
      <w:r>
        <w:t xml:space="preserve"> </w:t>
      </w:r>
      <w:r>
        <w:t xml:space="preserve">on scaling and long-term capabilities. Notably, we defined an initial</w:t>
      </w:r>
      <w:r>
        <w:t xml:space="preserve"> </w:t>
      </w:r>
      <w:r>
        <w:rPr>
          <w:b/>
          <w:bCs/>
        </w:rPr>
        <w:t xml:space="preserve">feasibility phase (Volet 1)</w:t>
      </w:r>
      <w:r>
        <w:t xml:space="preserve"> </w:t>
      </w:r>
      <w:r>
        <w:t xml:space="preserve">to validate use cases and build stakeholder buy-in, followed by a</w:t>
      </w:r>
      <w:r>
        <w:t xml:space="preserve"> </w:t>
      </w:r>
      <w:r>
        <w:rPr>
          <w:b/>
          <w:bCs/>
        </w:rPr>
        <w:t xml:space="preserve">strategy/architecture phase (Volet 2)</w:t>
      </w:r>
      <w:r>
        <w:t xml:space="preserve"> </w:t>
      </w:r>
      <w:r>
        <w:t xml:space="preserve">to incorporate client’s strategic documents and refine the implementation plan</w:t>
      </w:r>
      <w:hyperlink r:id="rId24">
        <w:r>
          <w:rPr>
            <w:rStyle w:val="Hyperlink"/>
          </w:rPr>
          <w:t xml:space="preserve">[10]</w:t>
        </w:r>
      </w:hyperlink>
      <w:hyperlink r:id="rId24">
        <w:r>
          <w:rPr>
            <w:rStyle w:val="Hyperlink"/>
          </w:rPr>
          <w:t xml:space="preserve">[11]</w:t>
        </w:r>
      </w:hyperlink>
      <w:r>
        <w:t xml:space="preserve">. The final phase was envisioned to include prototyping select use cases and establishing AI governance. This roadmap approach ensured the client had a clear timeline and path to gradually integrate AI into their products and operations.</w:t>
      </w:r>
    </w:p>
    <w:p>
      <w:pPr>
        <w:pStyle w:val="FirstParagraph"/>
      </w:pPr>
      <w:r>
        <w:t xml:space="preserve">Throughout this project, I acted as a</w:t>
      </w:r>
      <w:r>
        <w:t xml:space="preserve"> </w:t>
      </w:r>
      <w:r>
        <w:rPr>
          <w:b/>
          <w:bCs/>
        </w:rPr>
        <w:t xml:space="preserve">technical subject-matter expert</w:t>
      </w:r>
      <w:r>
        <w:t xml:space="preserve">, working in tandem with a data strategy specialist and a BI specialist. I interfaced regularly with the client’s team (product owners, IT managers, and Novacap representatives) to validate assumptions and refine requirements. By early October, our deliverables – including the prioritized use case lists, effort/value analysis, and a phased implementation plan – had equipped LGI’s leadership with a concrete strategy to begin their AI journey.</w:t>
      </w:r>
    </w:p>
    <w:bookmarkEnd w:id="25"/>
    <w:bookmarkStart w:id="28" w:name="X8d56951f2f452f24ee96767a7ef3ffe104fede8"/>
    <w:p>
      <w:pPr>
        <w:pStyle w:val="Heading2"/>
      </w:pPr>
      <w:r>
        <w:t xml:space="preserve">AI Upskilling and Maturity Evaluation for Client Teams</w:t>
      </w:r>
    </w:p>
    <w:p>
      <w:pPr>
        <w:pStyle w:val="FirstParagraph"/>
      </w:pPr>
      <w:r>
        <w:t xml:space="preserve">As part of the AI roadmap for LGI, I also spearheaded</w:t>
      </w:r>
      <w:r>
        <w:t xml:space="preserve"> </w:t>
      </w:r>
      <w:r>
        <w:rPr>
          <w:b/>
          <w:bCs/>
        </w:rPr>
        <w:t xml:space="preserve">education and maturity assessment initiatives</w:t>
      </w:r>
      <w:r>
        <w:t xml:space="preserve"> </w:t>
      </w:r>
      <w:r>
        <w:t xml:space="preserve">to ensure the client’s teams were prepared for the upcoming AI-driven changes. This included designing a custom AI training program and utilizing Videns’ proprietary AI maturity platform,</w:t>
      </w:r>
      <w:r>
        <w:t xml:space="preserve"> </w:t>
      </w:r>
      <w:r>
        <w:rPr>
          <w:i/>
          <w:iCs/>
        </w:rPr>
        <w:t xml:space="preserve">Lucia</w:t>
      </w:r>
      <w:r>
        <w:t xml:space="preserve">, to benchmark progress.</w:t>
      </w:r>
    </w:p>
    <w:p>
      <w:pPr>
        <w:numPr>
          <w:ilvl w:val="0"/>
          <w:numId w:val="1002"/>
        </w:numPr>
      </w:pPr>
      <w:r>
        <w:rPr>
          <w:b/>
          <w:bCs/>
        </w:rPr>
        <w:t xml:space="preserve">AI Training Program (Generative AI &amp; Fundamentals):</w:t>
      </w:r>
      <w:r>
        <w:t xml:space="preserve"> </w:t>
      </w:r>
      <w:r>
        <w:t xml:space="preserve">I co-developed and delivered a</w:t>
      </w:r>
      <w:r>
        <w:t xml:space="preserve"> </w:t>
      </w:r>
      <w:r>
        <w:rPr>
          <w:b/>
          <w:bCs/>
        </w:rPr>
        <w:t xml:space="preserve">“Formation Générale” (general AI training)</w:t>
      </w:r>
      <w:r>
        <w:t xml:space="preserve"> </w:t>
      </w:r>
      <w:r>
        <w:t xml:space="preserve">module as</w:t>
      </w:r>
      <w:r>
        <w:t xml:space="preserve"> </w:t>
      </w:r>
      <w:r>
        <w:rPr>
          <w:b/>
          <w:bCs/>
        </w:rPr>
        <w:t xml:space="preserve">Volet 1</w:t>
      </w:r>
      <w:r>
        <w:t xml:space="preserve"> </w:t>
      </w:r>
      <w:r>
        <w:t xml:space="preserve">of the roadmap</w:t>
      </w:r>
      <w:hyperlink r:id="rId26">
        <w:r>
          <w:rPr>
            <w:rStyle w:val="Hyperlink"/>
          </w:rPr>
          <w:t xml:space="preserve">[12]</w:t>
        </w:r>
      </w:hyperlink>
      <w:r>
        <w:t xml:space="preserve">. This training was targeted at a broad audience – from executives to operational staff – to build a solid understanding of AI concepts and use cases. I worked with colleagues to create a slide deck covering AI basics, machine learning concepts, and specific focus on</w:t>
      </w:r>
      <w:r>
        <w:t xml:space="preserve"> </w:t>
      </w:r>
      <w:r>
        <w:rPr>
          <w:b/>
          <w:bCs/>
        </w:rPr>
        <w:t xml:space="preserve">generative AI (e.g. ChatGPT use cases)</w:t>
      </w:r>
      <w:r>
        <w:t xml:space="preserve"> </w:t>
      </w:r>
      <w:r>
        <w:t xml:space="preserve">in the client’s context. We included practical examples (like how AI could optimize hospital workflows or automate document processing) and interactive elements. I also prepared a concise</w:t>
      </w:r>
      <w:r>
        <w:t xml:space="preserve"> </w:t>
      </w:r>
      <w:r>
        <w:rPr>
          <w:b/>
          <w:bCs/>
        </w:rPr>
        <w:t xml:space="preserve">cheat-sheet</w:t>
      </w:r>
      <w:r>
        <w:t xml:space="preserve"> </w:t>
      </w:r>
      <w:r>
        <w:t xml:space="preserve">reference for participants to reinforce key concepts and safe AI practices. The first iteration of the French presentation was sent to the client in mid-October</w:t>
      </w:r>
      <w:hyperlink r:id="rId26">
        <w:r>
          <w:rPr>
            <w:rStyle w:val="Hyperlink"/>
          </w:rPr>
          <w:t xml:space="preserve">[12]</w:t>
        </w:r>
      </w:hyperlink>
      <w:r>
        <w:t xml:space="preserve">, and I incorporated client feedback (via comments on slides) to ensure the content addressed their questions. Once the French version was validated, I coordinated the creation of an English version</w:t>
      </w:r>
      <w:hyperlink r:id="rId26">
        <w:r>
          <w:rPr>
            <w:rStyle w:val="Hyperlink"/>
          </w:rPr>
          <w:t xml:space="preserve">[13]</w:t>
        </w:r>
      </w:hyperlink>
      <w:r>
        <w:t xml:space="preserve">, demonstrating flexibility in bilingual delivery. This upskilling initiative equipped client decision-makers and technical teams with the knowledge to engage in AI projects meaningfully. It also included training on</w:t>
      </w:r>
      <w:r>
        <w:t xml:space="preserve"> </w:t>
      </w:r>
      <w:r>
        <w:rPr>
          <w:b/>
          <w:bCs/>
        </w:rPr>
        <w:t xml:space="preserve">applied generative AI</w:t>
      </w:r>
      <w:r>
        <w:t xml:space="preserve">, where I demonstrated how tools like ChatGPT could be used responsibly for tasks such as summarizing reports or analyzing free-text data, tailored to the client’s use cases.</w:t>
      </w:r>
    </w:p>
    <w:p>
      <w:pPr>
        <w:numPr>
          <w:ilvl w:val="0"/>
          <w:numId w:val="1002"/>
        </w:numPr>
      </w:pPr>
      <w:r>
        <w:rPr>
          <w:b/>
          <w:bCs/>
        </w:rPr>
        <w:t xml:space="preserve">AI Maturity Assessment (Lucia Platform):</w:t>
      </w:r>
      <w:r>
        <w:t xml:space="preserve"> </w:t>
      </w:r>
      <w:r>
        <w:t xml:space="preserve">To</w:t>
      </w:r>
      <w:r>
        <w:t xml:space="preserve"> </w:t>
      </w:r>
      <w:r>
        <w:rPr>
          <w:b/>
          <w:bCs/>
        </w:rPr>
        <w:t xml:space="preserve">baseline the client’s AI readiness</w:t>
      </w:r>
      <w:r>
        <w:t xml:space="preserve">, I facilitated an</w:t>
      </w:r>
      <w:r>
        <w:t xml:space="preserve"> </w:t>
      </w:r>
      <w:r>
        <w:rPr>
          <w:b/>
          <w:bCs/>
        </w:rPr>
        <w:t xml:space="preserve">AI maturity assessment</w:t>
      </w:r>
      <w:r>
        <w:t xml:space="preserve"> </w:t>
      </w:r>
      <w:r>
        <w:t xml:space="preserve">using Videns’</w:t>
      </w:r>
      <w:r>
        <w:t xml:space="preserve"> </w:t>
      </w:r>
      <w:r>
        <w:rPr>
          <w:i/>
          <w:iCs/>
        </w:rPr>
        <w:t xml:space="preserve">Lucia</w:t>
      </w:r>
      <w:r>
        <w:t xml:space="preserve"> </w:t>
      </w:r>
      <w:r>
        <w:t xml:space="preserve">platform. Lucia is an online tool (developed by Videns, now Cofomo) that evaluates an organization’s adoption level of AI across dimensions like strategy, data, skills, and governance. I obtained access to Lucia in September</w:t>
      </w:r>
      <w:hyperlink r:id="rId27">
        <w:r>
          <w:rPr>
            <w:rStyle w:val="Hyperlink"/>
          </w:rPr>
          <w:t xml:space="preserve">[14]</w:t>
        </w:r>
      </w:hyperlink>
      <w:r>
        <w:t xml:space="preserve"> </w:t>
      </w:r>
      <w:r>
        <w:t xml:space="preserve">and participated in the beta-testing program for the platform to familiarize myself with its features. I guided LGI’s key stakeholders through the Lucia assessment questionnaire, helping interpret questions where needed. After the assessment, I analyzed the generated maturity report to identify gaps and strengths in LGI’s AI capabilities. The results provided a quantitative measure of their AI maturity and were used to tailor our recommendations. For instance, if the assessment showed low maturity in data governance, we emphasized that in the roadmap’s later phases. The Lucia platform,</w:t>
      </w:r>
      <w:r>
        <w:t xml:space="preserve"> </w:t>
      </w:r>
      <w:r>
        <w:rPr>
          <w:b/>
          <w:bCs/>
        </w:rPr>
        <w:t xml:space="preserve">“powered by Videns”</w:t>
      </w:r>
      <w:r>
        <w:t xml:space="preserve">, was an invaluable tool – it lent structure to our evaluation and added credibility to our findings</w:t>
      </w:r>
      <w:hyperlink r:id="rId27">
        <w:r>
          <w:rPr>
            <w:rStyle w:val="Hyperlink"/>
          </w:rPr>
          <w:t xml:space="preserve">[14]</w:t>
        </w:r>
      </w:hyperlink>
      <w:r>
        <w:t xml:space="preserve">. I also provided feedback to the Videns product team as a beta user, suggesting improvements in the assessment questions relevance to real client scenarios. This dual role – assessing the client and enhancing an internal AI product – expanded my expertise in AI governance and measurement frameworks.</w:t>
      </w:r>
    </w:p>
    <w:p>
      <w:pPr>
        <w:pStyle w:val="FirstParagraph"/>
      </w:pPr>
      <w:r>
        <w:t xml:space="preserve">By combining</w:t>
      </w:r>
      <w:r>
        <w:t xml:space="preserve"> </w:t>
      </w:r>
      <w:r>
        <w:rPr>
          <w:b/>
          <w:bCs/>
        </w:rPr>
        <w:t xml:space="preserve">hands-on training</w:t>
      </w:r>
      <w:r>
        <w:t xml:space="preserve"> </w:t>
      </w:r>
      <w:r>
        <w:t xml:space="preserve">with a formal</w:t>
      </w:r>
      <w:r>
        <w:t xml:space="preserve"> </w:t>
      </w:r>
      <w:r>
        <w:rPr>
          <w:b/>
          <w:bCs/>
        </w:rPr>
        <w:t xml:space="preserve">maturity audit</w:t>
      </w:r>
      <w:r>
        <w:t xml:space="preserve">, I ensured that our client not only received a strategic plan on paper, but also developed the internal awareness and readiness to execute it. These efforts were key in building trust with the client’s team and empowering them to take ownership of their AI initiatives moving forward.</w:t>
      </w:r>
    </w:p>
    <w:bookmarkEnd w:id="28"/>
    <w:bookmarkStart w:id="30" w:name="Xa1207daaed0c464cea9e333353fc31cada1d981"/>
    <w:p>
      <w:pPr>
        <w:pStyle w:val="Heading2"/>
      </w:pPr>
      <w:r>
        <w:t xml:space="preserve">Generative AI Security Research (Prompt Injection Defense)</w:t>
      </w:r>
    </w:p>
    <w:p>
      <w:pPr>
        <w:pStyle w:val="FirstParagraph"/>
      </w:pPr>
      <w:r>
        <w:t xml:space="preserve">In parallel with client-facing projects, I devoted time to an internal R&amp;D initiative at Videns:</w:t>
      </w:r>
      <w:r>
        <w:t xml:space="preserve"> </w:t>
      </w:r>
      <w:r>
        <w:rPr>
          <w:b/>
          <w:bCs/>
        </w:rPr>
        <w:t xml:space="preserve">LLM security and prompt injection defense</w:t>
      </w:r>
      <w:r>
        <w:t xml:space="preserve">. Generative AI was a component of our solutions, so ensuring its safe and ethical use was paramount. I took the initiative to research and prototype a</w:t>
      </w:r>
      <w:r>
        <w:t xml:space="preserve"> </w:t>
      </w:r>
      <w:r>
        <w:rPr>
          <w:b/>
          <w:bCs/>
        </w:rPr>
        <w:t xml:space="preserve">“prompt injection firewall”</w:t>
      </w:r>
      <w:r>
        <w:t xml:space="preserve"> </w:t>
      </w:r>
      <w:r>
        <w:t xml:space="preserve">– a system to protect Large Language Models from malicious or unintended instructions.</w:t>
      </w:r>
    </w:p>
    <w:p>
      <w:pPr>
        <w:numPr>
          <w:ilvl w:val="0"/>
          <w:numId w:val="1003"/>
        </w:numPr>
      </w:pPr>
      <w:r>
        <w:rPr>
          <w:b/>
          <w:bCs/>
        </w:rPr>
        <w:t xml:space="preserve">Problem Identification:</w:t>
      </w:r>
      <w:r>
        <w:t xml:space="preserve"> </w:t>
      </w:r>
      <w:r>
        <w:t xml:space="preserve">Prompt injection is a known vulnerability where an external input can manipulate an AI model’s behavior. I recognized that as we integrate GPT-4 and similar LLMs into enterprise workflows (e.g. for document understanding or chatbots), we needed safeguards against such attacks. I started by reviewing state-of-the-art research on multi-layer defenses for LLMs, including academic papers and security blogs.</w:t>
      </w:r>
    </w:p>
    <w:p>
      <w:pPr>
        <w:numPr>
          <w:ilvl w:val="0"/>
          <w:numId w:val="1003"/>
        </w:numPr>
      </w:pPr>
      <w:r>
        <w:rPr>
          <w:b/>
          <w:bCs/>
        </w:rPr>
        <w:t xml:space="preserve">Prototype Development:</w:t>
      </w:r>
      <w:r>
        <w:t xml:space="preserve"> </w:t>
      </w:r>
      <w:r>
        <w:t xml:space="preserve">I created a dedicated GitHub repository named</w:t>
      </w:r>
      <w:r>
        <w:t xml:space="preserve"> </w:t>
      </w:r>
      <w:r>
        <w:rPr>
          <w:b/>
          <w:bCs/>
        </w:rPr>
        <w:t xml:space="preserve">“prompt-injection-security”</w:t>
      </w:r>
      <w:r>
        <w:t xml:space="preserve"> </w:t>
      </w:r>
      <w:r>
        <w:t xml:space="preserve">under the Videns organization to develop and test mitigation strategies</w:t>
      </w:r>
      <w:hyperlink r:id="rId29">
        <w:r>
          <w:rPr>
            <w:rStyle w:val="Hyperlink"/>
          </w:rPr>
          <w:t xml:space="preserve">[15]</w:t>
        </w:r>
      </w:hyperlink>
      <w:r>
        <w:t xml:space="preserve">. Working primarily in</w:t>
      </w:r>
      <w:r>
        <w:t xml:space="preserve"> </w:t>
      </w:r>
      <w:r>
        <w:rPr>
          <w:b/>
          <w:bCs/>
        </w:rPr>
        <w:t xml:space="preserve">Python</w:t>
      </w:r>
      <w:r>
        <w:t xml:space="preserve">, I built a pipeline that experimented with multiple defense techniques – for example, input sanitization, intent verification using secondary AI models, and rule-based filtering of model outputs. I implemented automated tests and CI workflows to validate the approach. (The CI logs show my active development – e.g., a GitHub Actions workflow running tests in early November</w:t>
      </w:r>
      <w:hyperlink r:id="rId29">
        <w:r>
          <w:rPr>
            <w:rStyle w:val="Hyperlink"/>
          </w:rPr>
          <w:t xml:space="preserve">[16]</w:t>
        </w:r>
      </w:hyperlink>
      <w:r>
        <w:t xml:space="preserve">.) One concept I prototyped was a</w:t>
      </w:r>
      <w:r>
        <w:t xml:space="preserve"> </w:t>
      </w:r>
      <w:r>
        <w:rPr>
          <w:i/>
          <w:iCs/>
        </w:rPr>
        <w:t xml:space="preserve">multi-agent guardrail</w:t>
      </w:r>
      <w:r>
        <w:t xml:space="preserve">: using a secondary AI agent to scrutinize or rephrase user prompts before they reach the main LLM, thereby neutralizing malicious patterns. I also tested</w:t>
      </w:r>
      <w:r>
        <w:t xml:space="preserve"> </w:t>
      </w:r>
      <w:r>
        <w:rPr>
          <w:i/>
          <w:iCs/>
        </w:rPr>
        <w:t xml:space="preserve">output filtering</w:t>
      </w:r>
      <w:r>
        <w:t xml:space="preserve">, where the LLM’s response is analyzed for any policy violations before release. This work was done using open-source libraries and our internal Azure OpenAI sandbox for safe testing.</w:t>
      </w:r>
    </w:p>
    <w:p>
      <w:pPr>
        <w:numPr>
          <w:ilvl w:val="0"/>
          <w:numId w:val="1003"/>
        </w:numPr>
      </w:pPr>
      <w:r>
        <w:rPr>
          <w:b/>
          <w:bCs/>
        </w:rPr>
        <w:t xml:space="preserve">Results and Impact:</w:t>
      </w:r>
      <w:r>
        <w:t xml:space="preserve"> </w:t>
      </w:r>
      <w:r>
        <w:t xml:space="preserve">By the end of this period, I had a working proof-of-concept “LLM Firewall” that demonstrated a multi-phase defense against prompt injection. For example, my prototype could intercept a prompt attempting to prompt the model to reveal confidential data and either block it or reframe it safely. I documented the findings and best practices and shared them with Videns’ innovation group. This R&amp;D project strengthened our</w:t>
      </w:r>
      <w:r>
        <w:t xml:space="preserve"> </w:t>
      </w:r>
      <w:r>
        <w:rPr>
          <w:b/>
          <w:bCs/>
        </w:rPr>
        <w:t xml:space="preserve">internal knowledge of AI security</w:t>
      </w:r>
      <w:r>
        <w:t xml:space="preserve">. It directly informed guidelines for deploying ChatGPT-like solutions for clients – my work ensured we advise on proper guardrails and increase client confidence in using generative AI. In short, I not only contributed to client deliverables but also to Videns’</w:t>
      </w:r>
      <w:r>
        <w:t xml:space="preserve"> </w:t>
      </w:r>
      <w:r>
        <w:rPr>
          <w:b/>
          <w:bCs/>
        </w:rPr>
        <w:t xml:space="preserve">innovation portfolio</w:t>
      </w:r>
      <w:r>
        <w:t xml:space="preserve"> </w:t>
      </w:r>
      <w:r>
        <w:t xml:space="preserve">by addressing cutting-edge AI safety challenges.</w:t>
      </w:r>
    </w:p>
    <w:bookmarkEnd w:id="30"/>
    <w:bookmarkStart w:id="35" w:name="X76c174dea74eea652e0ef5448a558a85b2cb930"/>
    <w:p>
      <w:pPr>
        <w:pStyle w:val="Heading2"/>
      </w:pPr>
      <w:r>
        <w:t xml:space="preserve">Exploratory AI Initiatives in Other Sectors</w:t>
      </w:r>
    </w:p>
    <w:p>
      <w:pPr>
        <w:pStyle w:val="FirstParagraph"/>
      </w:pPr>
      <w:r>
        <w:t xml:space="preserve">Beyond the major healthcare project, I have begun extending my AI expertise to</w:t>
      </w:r>
      <w:r>
        <w:t xml:space="preserve"> </w:t>
      </w:r>
      <w:r>
        <w:rPr>
          <w:b/>
          <w:bCs/>
        </w:rPr>
        <w:t xml:space="preserve">new domains and clients</w:t>
      </w:r>
      <w:r>
        <w:t xml:space="preserve"> </w:t>
      </w:r>
      <w:r>
        <w:t xml:space="preserve">for Videns. Notably, in early November I started engaging with a client in the</w:t>
      </w:r>
      <w:r>
        <w:t xml:space="preserve"> </w:t>
      </w:r>
      <w:r>
        <w:rPr>
          <w:b/>
          <w:bCs/>
        </w:rPr>
        <w:t xml:space="preserve">hospitality sector</w:t>
      </w:r>
      <w:r>
        <w:t xml:space="preserve"> </w:t>
      </w:r>
      <w:r>
        <w:t xml:space="preserve">– Germain Hotels – to explore AI opportunities. I participated in an introductory meeting with Germain’s innovation lead to discuss how AI could improve their operations and guest experience</w:t>
      </w:r>
      <w:hyperlink r:id="rId31">
        <w:r>
          <w:rPr>
            <w:rStyle w:val="Hyperlink"/>
          </w:rPr>
          <w:t xml:space="preserve">[17]</w:t>
        </w:r>
      </w:hyperlink>
      <w:r>
        <w:t xml:space="preserve">. In preparation, I researched common AI use cases in hospitality (such as demand forecasting, personalized marketing, and chatbots for guest services) so I could bring informed ideas to the table. During our kickoff call, I helped</w:t>
      </w:r>
      <w:r>
        <w:t xml:space="preserve"> </w:t>
      </w:r>
      <w:r>
        <w:rPr>
          <w:b/>
          <w:bCs/>
        </w:rPr>
        <w:t xml:space="preserve">identify areas where AI might add value</w:t>
      </w:r>
      <w:r>
        <w:t xml:space="preserve"> </w:t>
      </w:r>
      <w:r>
        <w:t xml:space="preserve">– for example, using machine learning to optimize pricing and occupancy, or implementing a GPT-powered virtual concierge for guests. While this project is still in the discovery phase, I am slated to provide AI advisory and potentially pilot solutions for them, broadening Videns’ reach into hospitality analytics.</w:t>
      </w:r>
    </w:p>
    <w:p>
      <w:pPr>
        <w:pStyle w:val="BodyText"/>
      </w:pPr>
      <w:r>
        <w:t xml:space="preserve">Internally, I also contributed to</w:t>
      </w:r>
      <w:r>
        <w:t xml:space="preserve"> </w:t>
      </w:r>
      <w:r>
        <w:rPr>
          <w:b/>
          <w:bCs/>
        </w:rPr>
        <w:t xml:space="preserve">cross-team knowledge sharing</w:t>
      </w:r>
      <w:r>
        <w:t xml:space="preserve">. I regularly attended and sometimes led our Scrum meetings and Confluence documentation sessions for ongoing projects. For instance, I collaborated with colleagues like Sonia Montserrat on maintaining project pages (e.g. the</w:t>
      </w:r>
      <w:r>
        <w:t xml:space="preserve"> </w:t>
      </w:r>
      <w:r>
        <w:rPr>
          <w:i/>
          <w:iCs/>
        </w:rPr>
        <w:t xml:space="preserve">Novacap P123</w:t>
      </w:r>
      <w:r>
        <w:t xml:space="preserve"> </w:t>
      </w:r>
      <w:r>
        <w:t xml:space="preserve">Confluence space) and ensured our plans were transparently documented</w:t>
      </w:r>
      <w:hyperlink r:id="rId32">
        <w:r>
          <w:rPr>
            <w:rStyle w:val="Hyperlink"/>
          </w:rPr>
          <w:t xml:space="preserve">[18]</w:t>
        </w:r>
      </w:hyperlink>
      <w:r>
        <w:t xml:space="preserve">. I’ve been an early adopter of new collaboration tools as Videns integrates with Cofomo – whether it’s migrating our email to the Cofomo domain</w:t>
      </w:r>
      <w:hyperlink r:id="rId33">
        <w:r>
          <w:rPr>
            <w:rStyle w:val="Hyperlink"/>
          </w:rPr>
          <w:t xml:space="preserve">[19]</w:t>
        </w:r>
      </w:hyperlink>
      <w:r>
        <w:t xml:space="preserve"> </w:t>
      </w:r>
      <w:r>
        <w:t xml:space="preserve">or leveraging the corporate ChatGPT Team license (which I proactively requested on my first week</w:t>
      </w:r>
      <w:hyperlink r:id="rId34">
        <w:r>
          <w:rPr>
            <w:rStyle w:val="Hyperlink"/>
          </w:rPr>
          <w:t xml:space="preserve">[20]</w:t>
        </w:r>
      </w:hyperlink>
      <w:r>
        <w:t xml:space="preserve">). By working</w:t>
      </w:r>
      <w:r>
        <w:t xml:space="preserve"> </w:t>
      </w:r>
      <w:r>
        <w:rPr>
          <w:b/>
          <w:bCs/>
        </w:rPr>
        <w:t xml:space="preserve">agilely and collaboratively</w:t>
      </w:r>
      <w:r>
        <w:t xml:space="preserve">, I helped the team deliver quality results under tight timelines.</w:t>
      </w:r>
    </w:p>
    <w:bookmarkEnd w:id="35"/>
    <w:bookmarkStart w:id="36" w:name="tools-technologies-and-skills-utilized"/>
    <w:p>
      <w:pPr>
        <w:pStyle w:val="Heading2"/>
      </w:pPr>
      <w:r>
        <w:t xml:space="preserve">Tools, Technologies, and Skills Utilized</w:t>
      </w:r>
    </w:p>
    <w:p>
      <w:pPr>
        <w:pStyle w:val="FirstParagraph"/>
      </w:pPr>
      <w:r>
        <w:t xml:space="preserve">Over these first months, I have leveraged a broad set of</w:t>
      </w:r>
      <w:r>
        <w:t xml:space="preserve"> </w:t>
      </w:r>
      <w:r>
        <w:rPr>
          <w:b/>
          <w:bCs/>
        </w:rPr>
        <w:t xml:space="preserve">tools and skills</w:t>
      </w:r>
      <w:r>
        <w:t xml:space="preserve"> </w:t>
      </w:r>
      <w:r>
        <w:t xml:space="preserve">to deliver value:</w:t>
      </w:r>
    </w:p>
    <w:p>
      <w:pPr>
        <w:numPr>
          <w:ilvl w:val="0"/>
          <w:numId w:val="1004"/>
        </w:numPr>
      </w:pPr>
      <w:r>
        <w:rPr>
          <w:b/>
          <w:bCs/>
        </w:rPr>
        <w:t xml:space="preserve">Programming &amp; Data Science:</w:t>
      </w:r>
      <w:r>
        <w:t xml:space="preserve"> </w:t>
      </w:r>
      <w:r>
        <w:t xml:space="preserve">Primarily Python for prototyping AI solutions; experience with data analysis and machine learning libraries. Set up GitHub projects with CI/CD for R&amp;D (as with the prompt injection security repo)</w:t>
      </w:r>
      <w:hyperlink r:id="rId29">
        <w:r>
          <w:rPr>
            <w:rStyle w:val="Hyperlink"/>
          </w:rPr>
          <w:t xml:space="preserve">[16]</w:t>
        </w:r>
      </w:hyperlink>
      <w:r>
        <w:t xml:space="preserve">. Familiar with cloud AI services (Azure OpenAI) and integration via APIs.</w:t>
      </w:r>
    </w:p>
    <w:p>
      <w:pPr>
        <w:numPr>
          <w:ilvl w:val="0"/>
          <w:numId w:val="1004"/>
        </w:numPr>
      </w:pPr>
      <w:r>
        <w:rPr>
          <w:b/>
          <w:bCs/>
        </w:rPr>
        <w:t xml:space="preserve">AI Platforms:</w:t>
      </w:r>
      <w:r>
        <w:t xml:space="preserve"> </w:t>
      </w:r>
      <w:r>
        <w:t xml:space="preserve">Extensive use of</w:t>
      </w:r>
      <w:r>
        <w:t xml:space="preserve"> </w:t>
      </w:r>
      <w:r>
        <w:rPr>
          <w:b/>
          <w:bCs/>
        </w:rPr>
        <w:t xml:space="preserve">ChatGPT (GPT-4)</w:t>
      </w:r>
      <w:r>
        <w:t xml:space="preserve"> </w:t>
      </w:r>
      <w:r>
        <w:t xml:space="preserve">as a productivity tool – from brainstorming solution approaches to drafting code snippets. I utilized the ChatGPT corporate workspace for safe handling of proprietary info. Also used</w:t>
      </w:r>
      <w:r>
        <w:t xml:space="preserve"> </w:t>
      </w:r>
      <w:r>
        <w:rPr>
          <w:b/>
          <w:bCs/>
        </w:rPr>
        <w:t xml:space="preserve">Lucia (Videns’ AI maturity platform)</w:t>
      </w:r>
      <w:r>
        <w:t xml:space="preserve"> </w:t>
      </w:r>
      <w:r>
        <w:t xml:space="preserve">both as a user and tester</w:t>
      </w:r>
      <w:hyperlink r:id="rId27">
        <w:r>
          <w:rPr>
            <w:rStyle w:val="Hyperlink"/>
          </w:rPr>
          <w:t xml:space="preserve">[14]</w:t>
        </w:r>
      </w:hyperlink>
      <w:r>
        <w:t xml:space="preserve">, gaining insight into AI governance metrics.</w:t>
      </w:r>
    </w:p>
    <w:p>
      <w:pPr>
        <w:numPr>
          <w:ilvl w:val="0"/>
          <w:numId w:val="1004"/>
        </w:numPr>
      </w:pPr>
      <w:r>
        <w:rPr>
          <w:b/>
          <w:bCs/>
        </w:rPr>
        <w:t xml:space="preserve">Business Intelligence &amp; Analytics:</w:t>
      </w:r>
      <w:r>
        <w:t xml:space="preserve"> </w:t>
      </w:r>
      <w:r>
        <w:t xml:space="preserve">Comfortable analyzing business processes and identifying where AI fits. Worked alongside BI specialists to interpret data and quantify benefits (e.g. calculating potential time savings in hospital bed management). This cross-functional skillset helped translate technical solutions into business outcomes (reduced waiting times, automated workflows, etc.).</w:t>
      </w:r>
    </w:p>
    <w:p>
      <w:pPr>
        <w:numPr>
          <w:ilvl w:val="0"/>
          <w:numId w:val="1004"/>
        </w:numPr>
      </w:pPr>
      <w:r>
        <w:rPr>
          <w:b/>
          <w:bCs/>
        </w:rPr>
        <w:t xml:space="preserve">Domains &amp; Industry Knowledge:</w:t>
      </w:r>
      <w:r>
        <w:t xml:space="preserve"> </w:t>
      </w:r>
      <w:r>
        <w:t xml:space="preserve">Developed domain expertise in</w:t>
      </w:r>
      <w:r>
        <w:t xml:space="preserve"> </w:t>
      </w:r>
      <w:r>
        <w:rPr>
          <w:b/>
          <w:bCs/>
        </w:rPr>
        <w:t xml:space="preserve">healthcare IT</w:t>
      </w:r>
      <w:r>
        <w:t xml:space="preserve"> </w:t>
      </w:r>
      <w:r>
        <w:t xml:space="preserve">(hospital workflows, electronic health record systems, RPA in healthcare) through the LGI project. Additionally gained exposure to</w:t>
      </w:r>
      <w:r>
        <w:t xml:space="preserve"> </w:t>
      </w:r>
      <w:r>
        <w:rPr>
          <w:b/>
          <w:bCs/>
        </w:rPr>
        <w:t xml:space="preserve">hospitality domain</w:t>
      </w:r>
      <w:r>
        <w:t xml:space="preserve"> </w:t>
      </w:r>
      <w:r>
        <w:t xml:space="preserve">needs via initial research for Germain Hotels. I also stayed updated on AI trends in other industries (finance, retail) via self-study, to be ready for future Videns mandates.</w:t>
      </w:r>
    </w:p>
    <w:p>
      <w:pPr>
        <w:numPr>
          <w:ilvl w:val="0"/>
          <w:numId w:val="1004"/>
        </w:numPr>
      </w:pPr>
      <w:r>
        <w:rPr>
          <w:b/>
          <w:bCs/>
        </w:rPr>
        <w:t xml:space="preserve">Communication &amp; Training:</w:t>
      </w:r>
      <w:r>
        <w:t xml:space="preserve"> </w:t>
      </w:r>
      <w:r>
        <w:t xml:space="preserve">Created clear technical documentation and executive-friendly presentations. Delivered training sessions explaining complex AI concepts in layman’s terms. Bilingual communication (French/English) was essential in client interactions and deliverables</w:t>
      </w:r>
      <w:hyperlink r:id="rId26">
        <w:r>
          <w:rPr>
            <w:rStyle w:val="Hyperlink"/>
          </w:rPr>
          <w:t xml:space="preserve">[13]</w:t>
        </w:r>
      </w:hyperlink>
      <w:r>
        <w:t xml:space="preserve">. I regularly wrote emails and reports summarizing analyses for diverse audiences – from hands-on client teams to Novacap executives – honing my ability to articulate AI value propositions.</w:t>
      </w:r>
    </w:p>
    <w:p>
      <w:pPr>
        <w:numPr>
          <w:ilvl w:val="0"/>
          <w:numId w:val="1004"/>
        </w:numPr>
      </w:pPr>
      <w:r>
        <w:rPr>
          <w:b/>
          <w:bCs/>
        </w:rPr>
        <w:t xml:space="preserve">Collaboration &amp; Project Management:</w:t>
      </w:r>
      <w:r>
        <w:t xml:space="preserve"> </w:t>
      </w:r>
      <w:r>
        <w:t xml:space="preserve">Used</w:t>
      </w:r>
      <w:r>
        <w:t xml:space="preserve"> </w:t>
      </w:r>
      <w:r>
        <w:rPr>
          <w:b/>
          <w:bCs/>
        </w:rPr>
        <w:t xml:space="preserve">Atlassian Confluence</w:t>
      </w:r>
      <w:r>
        <w:t xml:space="preserve"> </w:t>
      </w:r>
      <w:r>
        <w:t xml:space="preserve">and</w:t>
      </w:r>
      <w:r>
        <w:t xml:space="preserve"> </w:t>
      </w:r>
      <w:r>
        <w:rPr>
          <w:b/>
          <w:bCs/>
        </w:rPr>
        <w:t xml:space="preserve">Jira/Teams</w:t>
      </w:r>
      <w:r>
        <w:t xml:space="preserve"> </w:t>
      </w:r>
      <w:r>
        <w:t xml:space="preserve">for agile project coordination. Participated in daily scrums, sprint plannings, and stakeholder workshops. Coordinated feedback loops with clients (for example, collecting client input on training slides</w:t>
      </w:r>
      <w:hyperlink r:id="rId26">
        <w:r>
          <w:rPr>
            <w:rStyle w:val="Hyperlink"/>
          </w:rPr>
          <w:t xml:space="preserve">[21]</w:t>
        </w:r>
      </w:hyperlink>
      <w:r>
        <w:t xml:space="preserve"> </w:t>
      </w:r>
      <w:r>
        <w:t xml:space="preserve">or clarifying requirements via email</w:t>
      </w:r>
      <w:hyperlink r:id="rId23">
        <w:r>
          <w:rPr>
            <w:rStyle w:val="Hyperlink"/>
          </w:rPr>
          <w:t xml:space="preserve">[22]</w:t>
        </w:r>
      </w:hyperlink>
      <w:r>
        <w:t xml:space="preserve">). This ensured solutions were built iteratively and met real needs. I also navigated the integration of Videns into Cofomo’s organization, adapting to new IT environments (e.g. migrating email accounts</w:t>
      </w:r>
      <w:hyperlink r:id="rId33">
        <w:r>
          <w:rPr>
            <w:rStyle w:val="Hyperlink"/>
          </w:rPr>
          <w:t xml:space="preserve">[19]</w:t>
        </w:r>
      </w:hyperlink>
      <w:r>
        <w:t xml:space="preserve">) while maintaining productivity.</w:t>
      </w:r>
    </w:p>
    <w:bookmarkEnd w:id="36"/>
    <w:bookmarkStart w:id="37" w:name="conclusion-and-ongoing-development"/>
    <w:p>
      <w:pPr>
        <w:pStyle w:val="Heading2"/>
      </w:pPr>
      <w:r>
        <w:t xml:space="preserve">Conclusion and Ongoing Development</w:t>
      </w:r>
    </w:p>
    <w:p>
      <w:pPr>
        <w:pStyle w:val="FirstParagraph"/>
      </w:pPr>
      <w:r>
        <w:t xml:space="preserve">In summary, my first 3–4 months as an</w:t>
      </w:r>
      <w:r>
        <w:t xml:space="preserve"> </w:t>
      </w:r>
      <w:r>
        <w:rPr>
          <w:b/>
          <w:bCs/>
        </w:rPr>
        <w:t xml:space="preserve">Expert in AI at Videns</w:t>
      </w:r>
      <w:r>
        <w:t xml:space="preserve"> </w:t>
      </w:r>
      <w:r>
        <w:t xml:space="preserve">have been rich and impactful. I have</w:t>
      </w:r>
      <w:r>
        <w:t xml:space="preserve"> </w:t>
      </w:r>
      <w:r>
        <w:rPr>
          <w:b/>
          <w:bCs/>
        </w:rPr>
        <w:t xml:space="preserve">led AI strategy consulting for a major healthcare software firm</w:t>
      </w:r>
      <w:r>
        <w:t xml:space="preserve">, delivering tangible roadmaps and use case analyses that set the foundation for AI implementation</w:t>
      </w:r>
      <w:hyperlink r:id="rId21">
        <w:r>
          <w:rPr>
            <w:rStyle w:val="Hyperlink"/>
          </w:rPr>
          <w:t xml:space="preserve">[2]</w:t>
        </w:r>
      </w:hyperlink>
      <w:hyperlink r:id="rId22">
        <w:r>
          <w:rPr>
            <w:rStyle w:val="Hyperlink"/>
          </w:rPr>
          <w:t xml:space="preserve">[3]</w:t>
        </w:r>
      </w:hyperlink>
      <w:r>
        <w:t xml:space="preserve">. I have</w:t>
      </w:r>
      <w:r>
        <w:t xml:space="preserve"> </w:t>
      </w:r>
      <w:r>
        <w:rPr>
          <w:b/>
          <w:bCs/>
        </w:rPr>
        <w:t xml:space="preserve">designed and facilitated AI training programs</w:t>
      </w:r>
      <w:r>
        <w:t xml:space="preserve"> </w:t>
      </w:r>
      <w:r>
        <w:t xml:space="preserve">to elevate client capabilities</w:t>
      </w:r>
      <w:hyperlink r:id="rId26">
        <w:r>
          <w:rPr>
            <w:rStyle w:val="Hyperlink"/>
          </w:rPr>
          <w:t xml:space="preserve">[12]</w:t>
        </w:r>
      </w:hyperlink>
      <w:r>
        <w:t xml:space="preserve">, and employed Videns’ own tools like Lucia to ground our strategies in data</w:t>
      </w:r>
      <w:hyperlink r:id="rId27">
        <w:r>
          <w:rPr>
            <w:rStyle w:val="Hyperlink"/>
          </w:rPr>
          <w:t xml:space="preserve">[14]</w:t>
        </w:r>
      </w:hyperlink>
      <w:r>
        <w:t xml:space="preserve">. On the technical front, I have driven</w:t>
      </w:r>
      <w:r>
        <w:t xml:space="preserve"> </w:t>
      </w:r>
      <w:r>
        <w:rPr>
          <w:b/>
          <w:bCs/>
        </w:rPr>
        <w:t xml:space="preserve">innovative R&amp;D on LLM safety</w:t>
      </w:r>
      <w:r>
        <w:t xml:space="preserve">, prototyped solutions to emerging AI security threats</w:t>
      </w:r>
      <w:hyperlink r:id="rId29">
        <w:r>
          <w:rPr>
            <w:rStyle w:val="Hyperlink"/>
          </w:rPr>
          <w:t xml:space="preserve">[16]</w:t>
        </w:r>
      </w:hyperlink>
      <w:r>
        <w:t xml:space="preserve">, and shared these learnings internally.</w:t>
      </w:r>
    </w:p>
    <w:p>
      <w:pPr>
        <w:pStyle w:val="BodyText"/>
      </w:pPr>
      <w:r>
        <w:t xml:space="preserve">Equipped with a diverse toolkit of technical skills, industry domain knowledge, and a strong consulting acumen, I have been able to deliver value across multiple fronts – from detailed technical architecture to high-level strategic planning. I speak the language of data scientists and software developers, but also that of business executives and end-users, enabling me to act as an effective</w:t>
      </w:r>
      <w:r>
        <w:t xml:space="preserve"> </w:t>
      </w:r>
      <w:r>
        <w:rPr>
          <w:b/>
          <w:bCs/>
        </w:rPr>
        <w:t xml:space="preserve">translator between technology and business</w:t>
      </w:r>
      <w:r>
        <w:t xml:space="preserve">.</w:t>
      </w:r>
    </w:p>
    <w:p>
      <w:pPr>
        <w:pStyle w:val="BodyText"/>
      </w:pPr>
      <w:r>
        <w:t xml:space="preserve">Moving forward, I will continue to build on these successes. In the immediate term, I will be expanding our AI consulting into the hospitality sector and further refining the solutions identified for LGI as they move into implementation phases. I remain committed to continuous learning (e.g. exploring advanced NLP techniques and domain-specific AI applications) and to mentoring colleagues in AI best practices. Overall, these initial months have not only showcased my</w:t>
      </w:r>
      <w:r>
        <w:t xml:space="preserve"> </w:t>
      </w:r>
      <w:r>
        <w:rPr>
          <w:b/>
          <w:bCs/>
        </w:rPr>
        <w:t xml:space="preserve">expertise in AI</w:t>
      </w:r>
      <w:r>
        <w:t xml:space="preserve"> </w:t>
      </w:r>
      <w:r>
        <w:t xml:space="preserve">– spanning machine learning, generative AI, and data strategy – but also reinforced my passion for applying cutting-edge technology to solve real-world problems, in alignment with Videns’ mission of leveraging AI for impactful business transformation.</w:t>
      </w:r>
    </w:p>
    <w:p>
      <w:pPr>
        <w:pStyle w:val="BodyText"/>
      </w:pPr>
      <w:r>
        <w:rPr>
          <w:b/>
          <w:bCs/>
        </w:rPr>
        <w:t xml:space="preserve">Sources:</w:t>
      </w:r>
      <w:r>
        <w:t xml:space="preserve"> </w:t>
      </w:r>
      <w:r>
        <w:t xml:space="preserve">The information above is substantiated by project communications and deliverables, including internal emails and meeting notes from July–November 2025. Key examples include the delivery of AI use case Excel/PPT analyses</w:t>
      </w:r>
      <w:hyperlink r:id="rId21">
        <w:r>
          <w:rPr>
            <w:rStyle w:val="Hyperlink"/>
          </w:rPr>
          <w:t xml:space="preserve">[2]</w:t>
        </w:r>
      </w:hyperlink>
      <w:hyperlink r:id="rId22">
        <w:r>
          <w:rPr>
            <w:rStyle w:val="Hyperlink"/>
          </w:rPr>
          <w:t xml:space="preserve">[3]</w:t>
        </w:r>
      </w:hyperlink>
      <w:r>
        <w:t xml:space="preserve">, training material drafts</w:t>
      </w:r>
      <w:hyperlink r:id="rId26">
        <w:r>
          <w:rPr>
            <w:rStyle w:val="Hyperlink"/>
          </w:rPr>
          <w:t xml:space="preserve">[12]</w:t>
        </w:r>
      </w:hyperlink>
      <w:r>
        <w:t xml:space="preserve">, usage of the Lucia AI maturity platform</w:t>
      </w:r>
      <w:hyperlink r:id="rId27">
        <w:r>
          <w:rPr>
            <w:rStyle w:val="Hyperlink"/>
          </w:rPr>
          <w:t xml:space="preserve">[14]</w:t>
        </w:r>
      </w:hyperlink>
      <w:r>
        <w:t xml:space="preserve">, and records of the prompt injection security prototype on GitHub</w:t>
      </w:r>
      <w:hyperlink r:id="rId29">
        <w:r>
          <w:rPr>
            <w:rStyle w:val="Hyperlink"/>
          </w:rPr>
          <w:t xml:space="preserve">[16]</w:t>
        </w:r>
      </w:hyperlink>
      <w:r>
        <w:t xml:space="preserve">, among others. These sources illustrate the scope and technical depth of my contributions during this period.</w:t>
      </w:r>
    </w:p>
    <w:bookmarkEnd w:id="37"/>
    <w:bookmarkEnd w:id="38"/>
    <w:bookmarkEnd w:id="39"/>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r>
        <w:t xml:space="preserve">Re: Analyse des cas d'usage Produits</w:t>
      </w:r>
    </w:p>
    <w:p>
      <w:pPr>
        <w:pStyle w:val="BodyText"/>
      </w:pPr>
      <w:hyperlink r:id="rId21">
        <w:r>
          <w:rPr>
            <w:rStyle w:val="Hyperlink"/>
          </w:rPr>
          <w:t xml:space="preserve">https://outlook.office365.com/owa/?ItemID=AAMkADQ1MThlZTA5LWFjMDItNDQwZC04YzZhLWJjZmMyMDhiNDc3YwBGAAAAAACz576FV4MDQ4%2Bx7Me9nhf5BwCr2Wo19Z4hTKkD2m8Szj%2BQAAAAAAEMAACr2Wo19Z4hTKkD2m8Szj%2BQAAAAQpRnAAA%3D&amp;exvsurl=1&amp;viewmodel=ReadMessageItem</w:t>
        </w:r>
      </w:hyperlink>
    </w:p>
    <w:p>
      <w:pPr>
        <w:pStyle w:val="BodyText"/>
      </w:pPr>
      <w:hyperlink r:id="rId22">
        <w:r>
          <w:rPr>
            <w:rStyle w:val="Hyperlink"/>
          </w:rPr>
          <w:t xml:space="preserve">[3]</w:t>
        </w:r>
      </w:hyperlink>
      <w:r>
        <w:t xml:space="preserve"> </w:t>
      </w:r>
      <w:hyperlink r:id="rId22">
        <w:r>
          <w:rPr>
            <w:rStyle w:val="Hyperlink"/>
          </w:rPr>
          <w:t xml:space="preserve">[6]</w:t>
        </w:r>
      </w:hyperlink>
      <w:r>
        <w:t xml:space="preserve"> </w:t>
      </w:r>
      <w:r>
        <w:t xml:space="preserve">Re: Analyse des cas d'usage internes</w:t>
      </w:r>
    </w:p>
    <w:p>
      <w:pPr>
        <w:pStyle w:val="BodyText"/>
      </w:pPr>
      <w:hyperlink r:id="rId22">
        <w:r>
          <w:rPr>
            <w:rStyle w:val="Hyperlink"/>
          </w:rPr>
          <w:t xml:space="preserve">https://outlook.office365.com/owa/?ItemID=AAMkADQ1MThlZTA5LWFjMDItNDQwZC04YzZhLWJjZmMyMDhiNDc3YwBGAAAAAACz576FV4MDQ4%2Bx7Me9nhf5BwCr2Wo19Z4hTKkD2m8Szj%2BQAAAAAAEMAACr2Wo19Z4hTKkD2m8Szj%2BQAAAAQpRHAAA%3D&amp;exvsurl=1&amp;viewmodel=ReadMessageItem</w:t>
        </w:r>
      </w:hyperlink>
    </w:p>
    <w:p>
      <w:pPr>
        <w:pStyle w:val="BodyText"/>
      </w:pPr>
      <w:hyperlink r:id="rId23">
        <w:r>
          <w:rPr>
            <w:rStyle w:val="Hyperlink"/>
          </w:rPr>
          <w:t xml:space="preserve">[7]</w:t>
        </w:r>
      </w:hyperlink>
      <w:r>
        <w:t xml:space="preserve"> </w:t>
      </w:r>
      <w:hyperlink r:id="rId23">
        <w:r>
          <w:rPr>
            <w:rStyle w:val="Hyperlink"/>
          </w:rPr>
          <w:t xml:space="preserve">[8]</w:t>
        </w:r>
      </w:hyperlink>
      <w:r>
        <w:t xml:space="preserve"> </w:t>
      </w:r>
      <w:hyperlink r:id="rId23">
        <w:r>
          <w:rPr>
            <w:rStyle w:val="Hyperlink"/>
          </w:rPr>
          <w:t xml:space="preserve">[9]</w:t>
        </w:r>
      </w:hyperlink>
      <w:r>
        <w:t xml:space="preserve"> </w:t>
      </w:r>
      <w:hyperlink r:id="rId23">
        <w:r>
          <w:rPr>
            <w:rStyle w:val="Hyperlink"/>
          </w:rPr>
          <w:t xml:space="preserve">[22]</w:t>
        </w:r>
      </w:hyperlink>
      <w:r>
        <w:t xml:space="preserve"> </w:t>
      </w:r>
      <w:r>
        <w:t xml:space="preserve">Re: [Videns &amp; LGI] Approfondissement du besoin - Synchronisation et planification des soins &amp; RPA</w:t>
      </w:r>
    </w:p>
    <w:p>
      <w:pPr>
        <w:pStyle w:val="BodyText"/>
      </w:pPr>
      <w:hyperlink r:id="rId23">
        <w:r>
          <w:rPr>
            <w:rStyle w:val="Hyperlink"/>
          </w:rPr>
          <w:t xml:space="preserve">https://outlook.office365.com/owa/?ItemID=AAMkADQ1MThlZTA5LWFjMDItNDQwZC04YzZhLWJjZmMyMDhiNDc3YwBGAAAAAACz576FV4MDQ4%2Bx7Me9nhf5BwCr2Wo19Z4hTKkD2m8Szj%2BQAAAAAAEMAACr2Wo19Z4hTKkD2m8Szj%2BQAAAAQpOtAAA%3D&amp;exvsurl=1&amp;viewmodel=ReadMessageItem</w:t>
        </w:r>
      </w:hyperlink>
    </w:p>
    <w:p>
      <w:pPr>
        <w:pStyle w:val="BodyText"/>
      </w:pPr>
      <w:hyperlink r:id="rId24">
        <w:r>
          <w:rPr>
            <w:rStyle w:val="Hyperlink"/>
          </w:rPr>
          <w:t xml:space="preserve">[10]</w:t>
        </w:r>
      </w:hyperlink>
      <w:r>
        <w:t xml:space="preserve"> </w:t>
      </w:r>
      <w:hyperlink r:id="rId24">
        <w:r>
          <w:rPr>
            <w:rStyle w:val="Hyperlink"/>
          </w:rPr>
          <w:t xml:space="preserve">[11]</w:t>
        </w:r>
      </w:hyperlink>
      <w:r>
        <w:t xml:space="preserve"> </w:t>
      </w:r>
      <w:r>
        <w:t xml:space="preserve">Projet AI - Volet 2 - feuille de route</w:t>
      </w:r>
    </w:p>
    <w:p>
      <w:pPr>
        <w:pStyle w:val="BodyText"/>
      </w:pPr>
      <w:hyperlink r:id="rId24">
        <w:r>
          <w:rPr>
            <w:rStyle w:val="Hyperlink"/>
          </w:rPr>
          <w:t xml:space="preserve">https://outlook.office365.com/owa/?ItemID=AAMkADQ1MThlZTA5LWFjMDItNDQwZC04YzZhLWJjZmMyMDhiNDc3YwBGAAAAAACz576FV4MDQ4%2Bx7Me9nhf5BwCr2Wo19Z4hTKkD2m8Szj%2BQAAAAAAEMAACr2Wo19Z4hTKkD2m8Szj%2BQAAAAQpNWAAA%3D&amp;exvsurl=1&amp;viewmodel=ReadMessageItem</w:t>
        </w:r>
      </w:hyperlink>
    </w:p>
    <w:p>
      <w:pPr>
        <w:pStyle w:val="BodyText"/>
      </w:pPr>
      <w:hyperlink r:id="rId26">
        <w:r>
          <w:rPr>
            <w:rStyle w:val="Hyperlink"/>
          </w:rPr>
          <w:t xml:space="preserve">[12]</w:t>
        </w:r>
      </w:hyperlink>
      <w:r>
        <w:t xml:space="preserve"> </w:t>
      </w:r>
      <w:hyperlink r:id="rId26">
        <w:r>
          <w:rPr>
            <w:rStyle w:val="Hyperlink"/>
          </w:rPr>
          <w:t xml:space="preserve">[13]</w:t>
        </w:r>
      </w:hyperlink>
      <w:r>
        <w:t xml:space="preserve"> </w:t>
      </w:r>
      <w:hyperlink r:id="rId26">
        <w:r>
          <w:rPr>
            <w:rStyle w:val="Hyperlink"/>
          </w:rPr>
          <w:t xml:space="preserve">[21]</w:t>
        </w:r>
      </w:hyperlink>
      <w:r>
        <w:t xml:space="preserve"> </w:t>
      </w:r>
      <w:r>
        <w:t xml:space="preserve">Formations Volet 1</w:t>
      </w:r>
    </w:p>
    <w:p>
      <w:pPr>
        <w:pStyle w:val="BodyText"/>
      </w:pPr>
      <w:hyperlink r:id="rId26">
        <w:r>
          <w:rPr>
            <w:rStyle w:val="Hyperlink"/>
          </w:rPr>
          <w:t xml:space="preserve">https://outlook.office365.com/owa/?ItemID=AAMkADQ1MThlZTA5LWFjMDItNDQwZC04YzZhLWJjZmMyMDhiNDc3YwBGAAAAAACz576FV4MDQ4%2Bx7Me9nhf5BwCr2Wo19Z4hTKkD2m8Szj%2BQAAAAAAEMAACr2Wo19Z4hTKkD2m8Szj%2BQAAAAQpSRAAA%3D&amp;exvsurl=1&amp;viewmodel=ReadMessageItem</w:t>
        </w:r>
      </w:hyperlink>
    </w:p>
    <w:p>
      <w:pPr>
        <w:pStyle w:val="BodyText"/>
      </w:pPr>
      <w:hyperlink r:id="rId27">
        <w:r>
          <w:rPr>
            <w:rStyle w:val="Hyperlink"/>
          </w:rPr>
          <w:t xml:space="preserve">[14]</w:t>
        </w:r>
      </w:hyperlink>
      <w:r>
        <w:t xml:space="preserve"> </w:t>
      </w:r>
      <w:r>
        <w:t xml:space="preserve">Votre lien d'authentification</w:t>
      </w:r>
    </w:p>
    <w:p>
      <w:pPr>
        <w:pStyle w:val="BodyText"/>
      </w:pPr>
      <w:hyperlink r:id="rId27">
        <w:r>
          <w:rPr>
            <w:rStyle w:val="Hyperlink"/>
          </w:rPr>
          <w:t xml:space="preserve">https://outlook.office365.com/owa/?ItemID=AAMkADQ1MThlZTA5LWFjMDItNDQwZC04YzZhLWJjZmMyMDhiNDc3YwBGAAAAAACz576FV4MDQ4%2Bx7Me9nhf5BwCr2Wo19Z4hTKkD2m8Szj%2BQAAAAAAEMAACr2Wo19Z4hTKkD2m8Szj%2BQAAAAQpPIAAA%3D&amp;exvsurl=1&amp;viewmodel=ReadMessageItem</w:t>
        </w:r>
      </w:hyperlink>
    </w:p>
    <w:p>
      <w:pPr>
        <w:pStyle w:val="BodyText"/>
      </w:pPr>
      <w:hyperlink r:id="rId29">
        <w:r>
          <w:rPr>
            <w:rStyle w:val="Hyperlink"/>
          </w:rPr>
          <w:t xml:space="preserve">[15]</w:t>
        </w:r>
      </w:hyperlink>
      <w:r>
        <w:t xml:space="preserve"> </w:t>
      </w:r>
      <w:hyperlink r:id="rId29">
        <w:r>
          <w:rPr>
            <w:rStyle w:val="Hyperlink"/>
          </w:rPr>
          <w:t xml:space="preserve">[16]</w:t>
        </w:r>
      </w:hyperlink>
      <w:r>
        <w:t xml:space="preserve"> </w:t>
      </w:r>
      <w:r>
        <w:t xml:space="preserve">[carlosdenner-videns/prompt-injection-security] Run failed: Verify Setup - master (0363334)</w:t>
      </w:r>
    </w:p>
    <w:p>
      <w:pPr>
        <w:pStyle w:val="BodyText"/>
      </w:pPr>
      <w:hyperlink r:id="rId29">
        <w:r>
          <w:rPr>
            <w:rStyle w:val="Hyperlink"/>
          </w:rPr>
          <w:t xml:space="preserve">https://outlook.office365.com/owa/?ItemID=AAMkADQ1MThlZTA5LWFjMDItNDQwZC04YzZhLWJjZmMyMDhiNDc3YwBGAAAAAACz576FV4MDQ4%2Bx7Me9nhf5BwCr2Wo19Z4hTKkD2m8Szj%2BQAAAAAAEMAACr2Wo19Z4hTKkD2m8Szj%2BQAAAAQpQkAAA%3D&amp;exvsurl=1&amp;viewmodel=ReadMessageItem</w:t>
        </w:r>
      </w:hyperlink>
    </w:p>
    <w:p>
      <w:pPr>
        <w:pStyle w:val="BodyText"/>
      </w:pPr>
      <w:hyperlink r:id="rId31">
        <w:r>
          <w:rPr>
            <w:rStyle w:val="Hyperlink"/>
          </w:rPr>
          <w:t xml:space="preserve">[17]</w:t>
        </w:r>
      </w:hyperlink>
      <w:r>
        <w:t xml:space="preserve"> </w:t>
      </w:r>
      <w:r>
        <w:t xml:space="preserve">Carlos (Videns) &amp; Alexandre (Hotels Germain) - rencontre d'introduction</w:t>
      </w:r>
    </w:p>
    <w:p>
      <w:pPr>
        <w:pStyle w:val="BodyText"/>
      </w:pPr>
      <w:hyperlink r:id="rId31">
        <w:r>
          <w:rPr>
            <w:rStyle w:val="Hyperlink"/>
          </w:rPr>
          <w:t xml:space="preserve">https://outlook.office365.com/owa/?ItemID=AAMkADQ1MThlZTA5LWFjMDItNDQwZC04YzZhLWJjZmMyMDhiNDc3YwBGAAAAAACz576FV4MDQ4%2Bx7Me9nhf5BwCr2Wo19Z4hTKkD2m8Szj%2BQAAAAAAEMAACr2Wo19Z4hTKkD2m8Szj%2BQAAAAQpO4AAA%3D&amp;exvsurl=1&amp;viewmodel=ReadMessageItem</w:t>
        </w:r>
      </w:hyperlink>
    </w:p>
    <w:p>
      <w:pPr>
        <w:pStyle w:val="BodyText"/>
      </w:pPr>
      <w:hyperlink r:id="rId32">
        <w:r>
          <w:rPr>
            <w:rStyle w:val="Hyperlink"/>
          </w:rPr>
          <w:t xml:space="preserve">[18]</w:t>
        </w:r>
      </w:hyperlink>
      <w:r>
        <w:t xml:space="preserve"> </w:t>
      </w:r>
      <w:r>
        <w:t xml:space="preserve">Carlos Denner, voici Fiche de lancement de projet - Novacap Volet 3 et d'autres pages sur lesquelles votre équipe travaille</w:t>
      </w:r>
    </w:p>
    <w:p>
      <w:pPr>
        <w:pStyle w:val="BodyText"/>
      </w:pPr>
      <w:hyperlink r:id="rId32">
        <w:r>
          <w:rPr>
            <w:rStyle w:val="Hyperlink"/>
          </w:rPr>
          <w:t xml:space="preserve">https://outlook.office365.com/owa/?ItemID=AAMkADQ1MThlZTA5LWFjMDItNDQwZC04YzZhLWJjZmMyMDhiNDc3YwBGAAAAAACz576FV4MDQ4%2Bx7Me9nhf5BwCr2Wo19Z4hTKkD2m8Szj%2BQAAAAAAEMAACr2Wo19Z4hTKkD2m8Szj%2BQAAAC7LW7AAA%3D&amp;exvsurl=1&amp;viewmodel=ReadMessageItem</w:t>
        </w:r>
      </w:hyperlink>
    </w:p>
    <w:p>
      <w:pPr>
        <w:pStyle w:val="BodyText"/>
      </w:pPr>
      <w:hyperlink r:id="rId33">
        <w:r>
          <w:rPr>
            <w:rStyle w:val="Hyperlink"/>
          </w:rPr>
          <w:t xml:space="preserve">[19]</w:t>
        </w:r>
      </w:hyperlink>
      <w:r>
        <w:t xml:space="preserve"> </w:t>
      </w:r>
      <w:r>
        <w:t xml:space="preserve">Migration des courriels Outlook Videns vers Outlook Cofomo</w:t>
      </w:r>
    </w:p>
    <w:p>
      <w:pPr>
        <w:pStyle w:val="BodyText"/>
      </w:pPr>
      <w:hyperlink r:id="rId33">
        <w:r>
          <w:rPr>
            <w:rStyle w:val="Hyperlink"/>
          </w:rPr>
          <w:t xml:space="preserve">https://outlook.office365.com/owa/?ItemID=AAMkADQ1MThlZTA5LWFjMDItNDQwZC04YzZhLWJjZmMyMDhiNDc3YwBGAAAAAACz576FV4MDQ4%2Bx7Me9nhf5BwCr2Wo19Z4hTKkD2m8Szj%2BQAAAAAAEMAACr2Wo19Z4hTKkD2m8Szj%2BQAAAAQpPfAAA%3D&amp;exvsurl=1&amp;viewmodel=ReadMessageItem</w:t>
        </w:r>
      </w:hyperlink>
    </w:p>
    <w:p>
      <w:pPr>
        <w:pStyle w:val="BodyText"/>
      </w:pPr>
      <w:hyperlink r:id="rId34">
        <w:r>
          <w:rPr>
            <w:rStyle w:val="Hyperlink"/>
          </w:rPr>
          <w:t xml:space="preserve">[20]</w:t>
        </w:r>
      </w:hyperlink>
      <w:r>
        <w:t xml:space="preserve"> </w:t>
      </w:r>
      <w:r>
        <w:t xml:space="preserve"> Demande d’accès à la licence corporative ChatGPT</w:t>
      </w:r>
    </w:p>
    <w:p>
      <w:pPr>
        <w:pStyle w:val="BodyText"/>
      </w:pPr>
      <w:hyperlink r:id="rId34">
        <w:r>
          <w:rPr>
            <w:rStyle w:val="Hyperlink"/>
          </w:rPr>
          <w:t xml:space="preserve">https://outlook.office365.com/owa/?ItemID=AAMkADQ1MThlZTA5LWFjMDItNDQwZC04YzZhLWJjZmMyMDhiNDc3YwBGAAAAAACz576FV4MDQ4%2Bx7Me9nhf5BwCr2Wo19Z4hTKkD2m8Szj%2BQAAAAAAEJAACr2Wo19Z4hTKkD2m8Szj%2BQAAAARAP5AAA%3D&amp;exvsurl=1&amp;viewmodel=ReadMessageItem</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outlook.office365.com/owa/?ItemID=AAMkADQ1MThlZTA5LWFjMDItNDQwZC04YzZhLWJjZmMyMDhiNDc3YwBGAAAAAACz576FV4MDQ4%2Bx7Me9nhf5BwCr2Wo19Z4hTKkD2m8Szj%2BQAAAAAAEJAACr2Wo19Z4hTKkD2m8Szj%2BQAAAARAP5AAA%3D&amp;exvsurl=1&amp;viewmodel=ReadMessageItem" TargetMode="External" /><Relationship Type="http://schemas.openxmlformats.org/officeDocument/2006/relationships/hyperlink" Id="rId24" Target="https://outlook.office365.com/owa/?ItemID=AAMkADQ1MThlZTA5LWFjMDItNDQwZC04YzZhLWJjZmMyMDhiNDc3YwBGAAAAAACz576FV4MDQ4%2Bx7Me9nhf5BwCr2Wo19Z4hTKkD2m8Szj%2BQAAAAAAEMAACr2Wo19Z4hTKkD2m8Szj%2BQAAAAQpNWAAA%3D&amp;exvsurl=1&amp;viewmodel=ReadMessageItem" TargetMode="External" /><Relationship Type="http://schemas.openxmlformats.org/officeDocument/2006/relationships/hyperlink" Id="rId31" Target="https://outlook.office365.com/owa/?ItemID=AAMkADQ1MThlZTA5LWFjMDItNDQwZC04YzZhLWJjZmMyMDhiNDc3YwBGAAAAAACz576FV4MDQ4%2Bx7Me9nhf5BwCr2Wo19Z4hTKkD2m8Szj%2BQAAAAAAEMAACr2Wo19Z4hTKkD2m8Szj%2BQAAAAQpO4AAA%3D&amp;exvsurl=1&amp;viewmodel=ReadMessageItem" TargetMode="External" /><Relationship Type="http://schemas.openxmlformats.org/officeDocument/2006/relationships/hyperlink" Id="rId23" Target="https://outlook.office365.com/owa/?ItemID=AAMkADQ1MThlZTA5LWFjMDItNDQwZC04YzZhLWJjZmMyMDhiNDc3YwBGAAAAAACz576FV4MDQ4%2Bx7Me9nhf5BwCr2Wo19Z4hTKkD2m8Szj%2BQAAAAAAEMAACr2Wo19Z4hTKkD2m8Szj%2BQAAAAQpOtAAA%3D&amp;exvsurl=1&amp;viewmodel=ReadMessageItem" TargetMode="External" /><Relationship Type="http://schemas.openxmlformats.org/officeDocument/2006/relationships/hyperlink" Id="rId27" Target="https://outlook.office365.com/owa/?ItemID=AAMkADQ1MThlZTA5LWFjMDItNDQwZC04YzZhLWJjZmMyMDhiNDc3YwBGAAAAAACz576FV4MDQ4%2Bx7Me9nhf5BwCr2Wo19Z4hTKkD2m8Szj%2BQAAAAAAEMAACr2Wo19Z4hTKkD2m8Szj%2BQAAAAQpPIAAA%3D&amp;exvsurl=1&amp;viewmodel=ReadMessageItem" TargetMode="External" /><Relationship Type="http://schemas.openxmlformats.org/officeDocument/2006/relationships/hyperlink" Id="rId33" Target="https://outlook.office365.com/owa/?ItemID=AAMkADQ1MThlZTA5LWFjMDItNDQwZC04YzZhLWJjZmMyMDhiNDc3YwBGAAAAAACz576FV4MDQ4%2Bx7Me9nhf5BwCr2Wo19Z4hTKkD2m8Szj%2BQAAAAAAEMAACr2Wo19Z4hTKkD2m8Szj%2BQAAAAQpPfAAA%3D&amp;exvsurl=1&amp;viewmodel=ReadMessageItem" TargetMode="External" /><Relationship Type="http://schemas.openxmlformats.org/officeDocument/2006/relationships/hyperlink" Id="rId29" Target="https://outlook.office365.com/owa/?ItemID=AAMkADQ1MThlZTA5LWFjMDItNDQwZC04YzZhLWJjZmMyMDhiNDc3YwBGAAAAAACz576FV4MDQ4%2Bx7Me9nhf5BwCr2Wo19Z4hTKkD2m8Szj%2BQAAAAAAEMAACr2Wo19Z4hTKkD2m8Szj%2BQAAAAQpQkAAA%3D&amp;exvsurl=1&amp;viewmodel=ReadMessageItem" TargetMode="External" /><Relationship Type="http://schemas.openxmlformats.org/officeDocument/2006/relationships/hyperlink" Id="rId22" Target="https://outlook.office365.com/owa/?ItemID=AAMkADQ1MThlZTA5LWFjMDItNDQwZC04YzZhLWJjZmMyMDhiNDc3YwBGAAAAAACz576FV4MDQ4%2Bx7Me9nhf5BwCr2Wo19Z4hTKkD2m8Szj%2BQAAAAAAEMAACr2Wo19Z4hTKkD2m8Szj%2BQAAAAQpRHAAA%3D&amp;exvsurl=1&amp;viewmodel=ReadMessageItem" TargetMode="External" /><Relationship Type="http://schemas.openxmlformats.org/officeDocument/2006/relationships/hyperlink" Id="rId21" Target="https://outlook.office365.com/owa/?ItemID=AAMkADQ1MThlZTA5LWFjMDItNDQwZC04YzZhLWJjZmMyMDhiNDc3YwBGAAAAAACz576FV4MDQ4%2Bx7Me9nhf5BwCr2Wo19Z4hTKkD2m8Szj%2BQAAAAAAEMAACr2Wo19Z4hTKkD2m8Szj%2BQAAAAQpRnAAA%3D&amp;exvsurl=1&amp;viewmodel=ReadMessageItem" TargetMode="External" /><Relationship Type="http://schemas.openxmlformats.org/officeDocument/2006/relationships/hyperlink" Id="rId26" Target="https://outlook.office365.com/owa/?ItemID=AAMkADQ1MThlZTA5LWFjMDItNDQwZC04YzZhLWJjZmMyMDhiNDc3YwBGAAAAAACz576FV4MDQ4%2Bx7Me9nhf5BwCr2Wo19Z4hTKkD2m8Szj%2BQAAAAAAEMAACr2Wo19Z4hTKkD2m8Szj%2BQAAAAQpSRAAA%3D&amp;exvsurl=1&amp;viewmodel=ReadMessageItem" TargetMode="External" /><Relationship Type="http://schemas.openxmlformats.org/officeDocument/2006/relationships/hyperlink" Id="rId32" Target="https://outlook.office365.com/owa/?ItemID=AAMkADQ1MThlZTA5LWFjMDItNDQwZC04YzZhLWJjZmMyMDhiNDc3YwBGAAAAAACz576FV4MDQ4%2Bx7Me9nhf5BwCr2Wo19Z4hTKkD2m8Szj%2BQAAAAAAEMAACr2Wo19Z4hTKkD2m8Szj%2BQAAAC7LW7AAA%3D&amp;exvsurl=1&amp;viewmodel=ReadMessageItem" TargetMode="External" /></Relationships>
</file>

<file path=word/_rels/footnotes.xml.rels><?xml version="1.0" encoding="UTF-8"?><Relationships xmlns="http://schemas.openxmlformats.org/package/2006/relationships"><Relationship Type="http://schemas.openxmlformats.org/officeDocument/2006/relationships/hyperlink" Id="rId34" Target="https://outlook.office365.com/owa/?ItemID=AAMkADQ1MThlZTA5LWFjMDItNDQwZC04YzZhLWJjZmMyMDhiNDc3YwBGAAAAAACz576FV4MDQ4%2Bx7Me9nhf5BwCr2Wo19Z4hTKkD2m8Szj%2BQAAAAAAEJAACr2Wo19Z4hTKkD2m8Szj%2BQAAAARAP5AAA%3D&amp;exvsurl=1&amp;viewmodel=ReadMessageItem" TargetMode="External" /><Relationship Type="http://schemas.openxmlformats.org/officeDocument/2006/relationships/hyperlink" Id="rId24" Target="https://outlook.office365.com/owa/?ItemID=AAMkADQ1MThlZTA5LWFjMDItNDQwZC04YzZhLWJjZmMyMDhiNDc3YwBGAAAAAACz576FV4MDQ4%2Bx7Me9nhf5BwCr2Wo19Z4hTKkD2m8Szj%2BQAAAAAAEMAACr2Wo19Z4hTKkD2m8Szj%2BQAAAAQpNWAAA%3D&amp;exvsurl=1&amp;viewmodel=ReadMessageItem" TargetMode="External" /><Relationship Type="http://schemas.openxmlformats.org/officeDocument/2006/relationships/hyperlink" Id="rId31" Target="https://outlook.office365.com/owa/?ItemID=AAMkADQ1MThlZTA5LWFjMDItNDQwZC04YzZhLWJjZmMyMDhiNDc3YwBGAAAAAACz576FV4MDQ4%2Bx7Me9nhf5BwCr2Wo19Z4hTKkD2m8Szj%2BQAAAAAAEMAACr2Wo19Z4hTKkD2m8Szj%2BQAAAAQpO4AAA%3D&amp;exvsurl=1&amp;viewmodel=ReadMessageItem" TargetMode="External" /><Relationship Type="http://schemas.openxmlformats.org/officeDocument/2006/relationships/hyperlink" Id="rId23" Target="https://outlook.office365.com/owa/?ItemID=AAMkADQ1MThlZTA5LWFjMDItNDQwZC04YzZhLWJjZmMyMDhiNDc3YwBGAAAAAACz576FV4MDQ4%2Bx7Me9nhf5BwCr2Wo19Z4hTKkD2m8Szj%2BQAAAAAAEMAACr2Wo19Z4hTKkD2m8Szj%2BQAAAAQpOtAAA%3D&amp;exvsurl=1&amp;viewmodel=ReadMessageItem" TargetMode="External" /><Relationship Type="http://schemas.openxmlformats.org/officeDocument/2006/relationships/hyperlink" Id="rId27" Target="https://outlook.office365.com/owa/?ItemID=AAMkADQ1MThlZTA5LWFjMDItNDQwZC04YzZhLWJjZmMyMDhiNDc3YwBGAAAAAACz576FV4MDQ4%2Bx7Me9nhf5BwCr2Wo19Z4hTKkD2m8Szj%2BQAAAAAAEMAACr2Wo19Z4hTKkD2m8Szj%2BQAAAAQpPIAAA%3D&amp;exvsurl=1&amp;viewmodel=ReadMessageItem" TargetMode="External" /><Relationship Type="http://schemas.openxmlformats.org/officeDocument/2006/relationships/hyperlink" Id="rId33" Target="https://outlook.office365.com/owa/?ItemID=AAMkADQ1MThlZTA5LWFjMDItNDQwZC04YzZhLWJjZmMyMDhiNDc3YwBGAAAAAACz576FV4MDQ4%2Bx7Me9nhf5BwCr2Wo19Z4hTKkD2m8Szj%2BQAAAAAAEMAACr2Wo19Z4hTKkD2m8Szj%2BQAAAAQpPfAAA%3D&amp;exvsurl=1&amp;viewmodel=ReadMessageItem" TargetMode="External" /><Relationship Type="http://schemas.openxmlformats.org/officeDocument/2006/relationships/hyperlink" Id="rId29" Target="https://outlook.office365.com/owa/?ItemID=AAMkADQ1MThlZTA5LWFjMDItNDQwZC04YzZhLWJjZmMyMDhiNDc3YwBGAAAAAACz576FV4MDQ4%2Bx7Me9nhf5BwCr2Wo19Z4hTKkD2m8Szj%2BQAAAAAAEMAACr2Wo19Z4hTKkD2m8Szj%2BQAAAAQpQkAAA%3D&amp;exvsurl=1&amp;viewmodel=ReadMessageItem" TargetMode="External" /><Relationship Type="http://schemas.openxmlformats.org/officeDocument/2006/relationships/hyperlink" Id="rId22" Target="https://outlook.office365.com/owa/?ItemID=AAMkADQ1MThlZTA5LWFjMDItNDQwZC04YzZhLWJjZmMyMDhiNDc3YwBGAAAAAACz576FV4MDQ4%2Bx7Me9nhf5BwCr2Wo19Z4hTKkD2m8Szj%2BQAAAAAAEMAACr2Wo19Z4hTKkD2m8Szj%2BQAAAAQpRHAAA%3D&amp;exvsurl=1&amp;viewmodel=ReadMessageItem" TargetMode="External" /><Relationship Type="http://schemas.openxmlformats.org/officeDocument/2006/relationships/hyperlink" Id="rId21" Target="https://outlook.office365.com/owa/?ItemID=AAMkADQ1MThlZTA5LWFjMDItNDQwZC04YzZhLWJjZmMyMDhiNDc3YwBGAAAAAACz576FV4MDQ4%2Bx7Me9nhf5BwCr2Wo19Z4hTKkD2m8Szj%2BQAAAAAAEMAACr2Wo19Z4hTKkD2m8Szj%2BQAAAAQpRnAAA%3D&amp;exvsurl=1&amp;viewmodel=ReadMessageItem" TargetMode="External" /><Relationship Type="http://schemas.openxmlformats.org/officeDocument/2006/relationships/hyperlink" Id="rId26" Target="https://outlook.office365.com/owa/?ItemID=AAMkADQ1MThlZTA5LWFjMDItNDQwZC04YzZhLWJjZmMyMDhiNDc3YwBGAAAAAACz576FV4MDQ4%2Bx7Me9nhf5BwCr2Wo19Z4hTKkD2m8Szj%2BQAAAAAAEMAACr2Wo19Z4hTKkD2m8Szj%2BQAAAAQpSRAAA%3D&amp;exvsurl=1&amp;viewmodel=ReadMessageItem" TargetMode="External" /><Relationship Type="http://schemas.openxmlformats.org/officeDocument/2006/relationships/hyperlink" Id="rId32" Target="https://outlook.office365.com/owa/?ItemID=AAMkADQ1MThlZTA5LWFjMDItNDQwZC04YzZhLWJjZmMyMDhiNDc3YwBGAAAAAACz576FV4MDQ4%2Bx7Me9nhf5BwCr2Wo19Z4hTKkD2m8Szj%2BQAAAAAAEMAACr2Wo19Z4hTKkD2m8Szj%2BQAAAC7LW7AAA%3D&amp;exvsurl=1&amp;viewmodel=ReadMessageI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2025-11-11T21:51:43Z</dcterms:created>
  <dcterms:modified xsi:type="dcterms:W3CDTF">2025-11-11T21:51:43Z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