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CAIXA Vida e Previdência  ·  Engenharia de Dados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5FA8"/>
          <w:sz w:val="56"/>
          <w:szCs w:val="56"/>
        </w:rPr>
        <w:t xml:space="preserve">ORQUESTRA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Organizador de Rotinas, Queues e Execução</w:t>
      </w:r>
    </w:p>
    <w:p>
      <w:pPr>
        <w:pBdr>
          <w:bottom w:val="single" w:color="1A5FA8" w:sz="6" w:space="6"/>
        </w:pBdr>
        <w:spacing w:after="200" w:before="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Especificação de Melhorias Visuais e Padronização  | 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/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Documento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Especificação de Melhorias Visuais e Padronização de Interface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Produto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ORQUESTRA (ORQ)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Versão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1.0 — baseada em análise do index.html funcional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POC — HTML simples, sem frameworks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Engenharia de Dados — CAIXA Vida e Previdência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Aprovado em debate multidisciplinar da equipe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Participantes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Diana Costa (UX/UI), Thiago Lima (Tech Lead), Paula Mendes (PM), Bruno Almeida (BA), Fernanda Dados (Eng. Dados), Carlos Secure (Security)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30 de maio de 2026</w:t>
            </w:r>
          </w:p>
        </w:tc>
      </w:tr>
    </w:tbl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Contexto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equipe analisou o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arquivo index.html completo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da aplicação ORQUESTRA — incluindo todas as telas implementadas: login, pipelines, jobs, modais de status, modais de edição/criação de jobs e lineage. O objetivo desta especificação é definir as melhorias visuais e de padronização necessárias para elevar a qualidade da POC antes da apresentação à gestão.</w:t>
      </w:r>
    </w:p>
    <w:p>
      <w:pPr>
        <w:spacing w:after="0" w:before="80"/>
      </w:pPr>
      <w:r>
        <w:t xml:space="preserve"/>
      </w:r>
    </w:p>
    <w:p>
      <w:pPr>
        <w:pBdr>
          <w:left w:val="single" w:color="E65100" w:sz="12" w:space="8"/>
        </w:pBdr>
        <w:shd w:fill="FFF3E0" w:val="clear"/>
        <w:spacing w:after="120" w:before="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Premissa: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HTML simples, sem frameworks. Todas as melhorias devem ser implementadas via CSS e ajustes de markup — sem adicionar bibliotecas externas.</w:t>
      </w:r>
    </w:p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Diagnóstico — 19 pontos identificados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Categoria</w:t>
            </w:r>
          </w:p>
        </w:tc>
        <w:tc>
          <w:tcPr>
            <w:tcW w:type="dxa" w:w="24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Quantidade</w:t>
            </w:r>
          </w:p>
        </w:tc>
        <w:tc>
          <w:tcPr>
            <w:tcW w:type="dxa" w:w="47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Críticos (identidade, tipografia, manutenção)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Alto — afetam diretamente a apresentação à gestão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Importantes (UX, consistência, nomenclatura)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Médio — afetam experiência e manutenção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Melhorias (refinamento, acessibilidade)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Baixo — polish e profissionalismo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Pontos positivos (manter sem alteração)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—</w:t>
            </w:r>
          </w:p>
        </w:tc>
      </w:tr>
    </w:tbl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Problemas críticos — correção obrigatória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Os 6 itens abaixo afetam diretamente a identidade do produto e devem ser corrigidos antes da apresentação à gestão.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3.1  Title da página — ainda referencia SGE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FFEBE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CRÍTICO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Título da aba do browser ainda é "SGE | Cadastro de Pipeline"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Referência: Linha 6 — &lt;title&gt;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Problema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Primeira coisa visível ao abrir a ferramenta no browser. A gestão verá "SGE" na aba antes mesmo de ver a tela de login. Contradiz toda a identidade ORQUESTRA construída.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Alterar para: ORQUESTRA — Caixa Vida e Previdência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3.2  Header da app perde a identidade ao fazer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FFEBE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CRÍTICO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Header exibe "Cadastro de Pipeline" em vez de ORQUESTRA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Referência: Linha 586 — .hd-title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Problema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Após o login, o nome ORQUESTRA desaparece. O header azul mostra apenas "Cadastro de Pipeline" como título. A identidade da ferramenta some no momento de uso.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Trocar o texto do .hd-title para "ORQUESTRA". Incluir abaixo, em fonte menor e opacidade reduzida, o subtítulo "Gestão de Pipelines" para contexto.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CSS a adicionar: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.hd-title { font-size: .9rem; font-weight: 600; letter-spacing: .06em; }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.hd-subtitle { font-size: .7rem; opacity: .65; letter-spacing: .04em; margin-top: 1px; 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3.3  Emojis como ícones 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FFEBE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CRÍTICO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Emojis usados como ícones em tabs, forms e botões — 8+ ocorrências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Referência: Linhas 599, 609, 668, 714, 718, 777, 822, 2037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Problema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🏷️ 🧩 ✅ ⏸ 📋 ⏳ renderizam diferente em cada sistema operacional e browser. Em Windows pode aparecer colorido, no Linux monocromático, no macOS diferente. Para uma ferramenta corporativa isso compromete a percepção de qualidade.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Substituir todos por caracteres unicode neutros ou símbolos CSS. Ver tabela de substituições na Seção 5.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3.4  Gradiente azul repetido em todos os card-headers internos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FFEBE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CRÍTICO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Classe .grad aplicada nos headers de Pipelines, Jobs e editor de pipeline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Referência: Linhas 607, 661, 776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Problema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 gradiente azul escuro foi projetado para o header global e para a tela de login. Repetido dentro de cada card da aplicação, cria saturação visual — o olhar não encontra hierarquia.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Criar classe .card-section-head: fundo branco (ou --bg), borda inferior sutil, título em azul escuro. Reservar .grad apenas para o header global da aplicação.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CSS proposto: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.card-section-head {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  padding: 1rem 1.25rem;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  border-bottom: 1px solid var(--border);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  background: var(--card);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}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.card-section-head h2 { font-size: 1rem; font-weight: 600; color: var(--cvp-blue); margin: 0; }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.card-section-head .sub { font-size: 11px; color: var(--muted); margin: .2rem 0 0; 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3.5  font-weight: 800 sem hierarquia tipográfica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FFEBE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CRÍTICO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Peso tipográfico uniforme em labels, botões, títulos e paginação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Referência: CSS linhas 59, 101, 213, 217, 236, 340, 380, 478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Problema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font-weight: 800 aplicado em h1, labels, tab-btn, modal-title, job-card-title, mode-btn, pag-btn, whoami. Resultado: sem contraste de importância — tudo parece igualmente urgente.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Escala tipográfica: corpo = 400, helper = 400, label = 500, subtítulo = 500, título de card = 600, botão primário = 600, nome ORQUESTRA = 700. Eliminar 800 de todos os elementos exceto logotipo.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3.6  Inline styles generalizados — impossíveis de manter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FFEBE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CRÍTICO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40+ elementos com style= inline — font-size, margin, display:flex, gap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Referência: Distribuídos em todo o HTML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Problema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style="font-size:13px", style="margin-bottom:.5rem", style="display:flex;gap:8px" repetidos dezenas de vezes. Qualquer ajuste de design exige varredura manual linha a linha. Risco alto de inconsistência.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Criar classes utilitárias no &lt;style&gt;: .fs-sm (13px), .fs-xs (12px), .mt-sm (.5rem), .mb-sm (.5rem), .flex-row (display:flex;align-items:center), .gap-sm (gap:8px). Substituir os inline styles mais recorrentes.</w:t>
            </w:r>
          </w:p>
        </w:tc>
      </w:tr>
    </w:tbl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Pontos importantes — melhoria antes da apresentação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200"/>
        <w:gridCol w:w="3460"/>
      </w:tblGrid>
      <w:tr>
        <w:tc>
          <w:tcPr>
            <w:tcW w:type="dxa" w:w="5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Localização</w:t>
            </w:r>
          </w:p>
        </w:tc>
        <w:tc>
          <w:tcPr>
            <w:tcW w:type="dxa" w:w="34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Correção resumida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border-radius: 24px excessivo para sistema B2B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--radius (CSS linha 16)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Reduzir para --radius: 16px e --radius-sm: 10px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Nomes de DAGs expostos nos sub-headers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Linhas 611, 666, 780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Remover subtítulos técnicos "Chama DAG · etl_...". Mover para tooltip ou ocultar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Navegação sem abas futuras visíveis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Linhas 598-601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Adicionar tabs "Dashboard" e "Logs" com estado disabled + badge "em breve"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Botão de tema usa emoji 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Linha 590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Substituir por símbolo ◐ ou ○● via CSS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Botão Lineage com estilos hardcoded via 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Linha 1086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Criar classes .lineage-btn-ok e .lineage-btn-pending no CSS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4.6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Status toggle usa ✅ Ativo / ⏸ Inativo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Linhas 714, 718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Substituir por ponto colorido CSS + texto: ● Ativo / ○ Inativo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4.7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Textos de botões de ação inconsistentes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Linhas 764, 2099, 2171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Padronizar: criação = "Salvar", edição = "Salvar alterações"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4.8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Sombra --shadow com 45px blur — pesada para cards internos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CSS linha 17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Criar --shadow-card: 0 2px 12px rgba(0,0,0,.08) para uso interno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4.1  border-radius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valor atual </w:t>
      </w: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--radius:24px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é característico de apps mobile/consumer. Para uma ferramenta interna empresarial, </w:t>
      </w: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16px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transmite mais seriedade sem perder modernidade.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Mudança em 1 linha de CSS — impacto visual global: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:root { --radius: 16px; --radius-sm: 10px; 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4.3  Abas com roadmap visível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gestão avalia o produto pelo que vê — não pelo que está planejado. Adicionar as abas futuras desabilitadas mostra visão de produto e aumenta percepção de valor da ferramenta.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HTML proposto para as novas abas: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&lt;button class="tab-btn" disabled aria-disabled="true"&gt;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  ◫ &lt;span&gt;Dashboard&lt;/span&gt;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  &lt;span class="tab-badge-soon"&gt;em breve&lt;/span&gt;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&lt;/button&gt;</w:t>
      </w:r>
    </w:p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CSS proposto: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.tab-btn:disabled { opacity: .45; cursor: not-allowed; }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.tab-badge-soon { font-size: 9px; background: rgba(0,92,169,.1); color: var(--cvp-blue);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  border: 0.5px solid rgba(0,92,169,.2); border-radius: 20px; padding: 1px 6px;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  font-weight: 500; letter-spacing: .03em; margin-left: 4px; 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4.5  Botão Lineage — classes CSS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Classes CSS a criar: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.lineage-btn-ok { background: rgba(22,163,74,.08); border: 0.5px solid #16a34a; color: #15803d; }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.lineage-btn-pending { background: rgba(202,138,4,.08); border: 0.5px solid #ca8a04; color: #92400e; }</w:t>
      </w:r>
    </w:p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JS — antes: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style="background:${ok?...}; border-color:${ok?...}; color:${ok?...}"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JS — depois: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class="${ok ? 'lineage-btn-ok' : 'lineage-btn-pending'}"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4.8  Hierarquia de sombras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CSS proposto: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:root {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  --shadow: 0 16px 45px -12px rgba(2,8,23,.22);  /* login card apenas */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  --shadow-card: 0 2px 12px rgba(0,0,0,.08);     /* cards internos da app */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  --shadow-modal: 0 20px 60px -10px rgba(0,0,0,.25); /* modais */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}</w:t>
      </w:r>
    </w:p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Tabela completa de substituições de emoji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560"/>
      </w:tblGrid>
      <w:tr>
        <w:tc>
          <w:tcPr>
            <w:tcW w:type="dxa" w:w="16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Local</w:t>
            </w:r>
          </w:p>
        </w:tc>
        <w:tc>
          <w:tcPr>
            <w:tcW w:type="dxa" w:w="18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Emoji atual</w:t>
            </w:r>
          </w:p>
        </w:tc>
        <w:tc>
          <w:tcPr>
            <w:tcW w:type="dxa" w:w="24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Substituto aprovado</w:t>
            </w:r>
          </w:p>
        </w:tc>
        <w:tc>
          <w:tcPr>
            <w:tcW w:type="dxa" w:w="35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Tab Pipelines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🏷️ Pipelines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≡ Pipelines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Símbolo de lista — universal e limpo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Tab Jobs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🧩 Jobs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⬡ Jobs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Hexágono — remete a módulo/componente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Tab Dashboard (nova)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◫ Dashboard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Quadrado com layout — remete a painel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Tab Logs (nova)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≣ Logs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Símbolo de linhas — remete a registro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Header card Pipelines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🏷️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Remover emoji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Título simples: "Pipelines"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Header card Jobs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Remover emoji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Título simples: "Jobs"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Header novo 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＋ (fullwidth)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+ (padrão)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Usar + ASCII padrão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Status 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● Ativo (verde via CSS)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Ponto CSS colorido — sem emoji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Status Inativo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⏸ Inativo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○ Inativo (cinza via CSS)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Círculo vazio CSS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Botão Colar lista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📋 Colar lista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Colar lista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Sem ícone — texto é suficiente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Toggle tema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Meia-lua em unicode — neutro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Modal status DAG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Remover do HTML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Spinner CSS já presente — emoji redundante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Botão fechar modal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✕ (vários)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× (U+00D7)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Multiplicação unicode — mais elegante</w:t>
            </w:r>
          </w:p>
        </w:tc>
      </w:tr>
    </w:tbl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Escala tipográfica padronizada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600"/>
        <w:gridCol w:w="2000"/>
        <w:gridCol w:w="1760"/>
      </w:tblGrid>
      <w:tr>
        <w:tc>
          <w:tcPr>
            <w:tcW w:type="dxa" w:w="26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Elemento</w:t>
            </w:r>
          </w:p>
        </w:tc>
        <w:tc>
          <w:tcPr>
            <w:tcW w:type="dxa" w:w="14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font-size</w:t>
            </w:r>
          </w:p>
        </w:tc>
        <w:tc>
          <w:tcPr>
            <w:tcW w:type="dxa" w:w="16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font-weight</w:t>
            </w:r>
          </w:p>
        </w:tc>
        <w:tc>
          <w:tcPr>
            <w:tcW w:type="dxa" w:w="20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</w:t>
            </w:r>
          </w:p>
        </w:tc>
        <w:tc>
          <w:tcPr>
            <w:tcW w:type="dxa" w:w="17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Nome ORQUESTRA (login)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22px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#FFFFFF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Apenas no painel de login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Título de seção (card-head)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1rem (16px)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var(--cvp-blue)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H2 dos cards internos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Subtítulo / kicker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11px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var(--muted)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Sub dos headers de card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Label de 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11px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var(--muted)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Uppercase + letter-spacing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Corpo / inputs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.95rem (15px)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var(--text)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Texto principal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Helper / hint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12px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var(--muted)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Textos auxiliares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Botão primário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.8rem (13px)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#FFFFFF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Uppercase + letter-spacing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Botão ghost/outline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.8rem (13px)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var(--text)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Sem uppercase obrigatório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Tag / badge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10-12px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Variável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Pills de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Table header (th)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var(--muted)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Uppercase + letter-spacing .06em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Table body (td)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13px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var(--text)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Dados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Paginação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12px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var(--muted)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Números de página</w:t>
            </w:r>
          </w:p>
        </w:tc>
      </w:tr>
    </w:tbl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Classes utilitárias a criar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Substituem os inline styles mais recorrentes. Adicionar no bloco </w:t>
      </w: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&lt;style&gt;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existente.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Espaçamento: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.mt-sm { margin-top: .5rem; }       .mb-sm { margin-bottom: .5rem; }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.mt-md { margin-top: 1rem; }        .mb-md { margin-bottom: 1rem; }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.mt-0  { margin-top: 0; }           .mb-0  { margin-bottom: 0; }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Tipografia: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.fs-xs  { font-size: 11px; }        .fs-sm  { font-size: 12px; }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.fs-md  { font-size: 13px; }        .fs-base { font-size: .95rem; }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.fw-400 { font-weight: 400; }       .fw-500 { font-weight: 500; }       .fw-600 { font-weight: 600; }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Layout: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.flex-row   { display: flex; align-items: center; }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.flex-col   { display: flex; flex-direction: column; }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.flex-between { display: flex; align-items: center; justify-content: space-between; }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.gap-xs  { gap: .4rem; }   .gap-sm  { gap: .6rem; }   .gap-md  { gap: 1rem; }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.flex-wrap { flex-wrap: wrap; }</w:t>
      </w:r>
    </w:p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Melhorias de polish e acessibilidade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2200"/>
        <w:gridCol w:w="4060"/>
      </w:tblGrid>
      <w:tr>
        <w:tc>
          <w:tcPr>
            <w:tcW w:type="dxa" w:w="5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6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Localização</w:t>
            </w:r>
          </w:p>
        </w:tc>
        <w:tc>
          <w:tcPr>
            <w:tcW w:type="dxa" w:w="40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Correção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8.1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Botão Colar lista — remover emoji 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Linha 822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Texto simples: "Colar lista"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8.2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Botão fechar modal — padronizar como .btn-close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Linhas 668, 2058, 2114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Criar .btn-close único com ×. Aplicar em todos os modais.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8.3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Empty state das tabelas — melhorar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Linhas 654, 825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Criar .empty-state com símbolo grande (○), título e subtexto orientativo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8.4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Modal de status — remover emoji ⏳ redundante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Linha 2037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Manter apenas o spinner CSS quando em estado "sending"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8.5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Fundo body com 3 radial-gradients — simplificar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CSS linhas 28-40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Reduzir para 1 gradiente sutil ou remover — cards têm personalidade própria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8.3  Empty state proposto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CSS a adicionar: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.empty-state { text-align: center; padding: 2.5rem 1rem; }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.empty-state .es-icon { font-size: 2rem; color: var(--border); display: block; margin-bottom: .75rem; }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.empty-state .es-title { font-size: 13px; font-weight: 500; color: var(--muted); margin-bottom: .3rem; }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.empty-state .es-sub { font-size: 12px; color: var(--muted); opacity: .7; }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HTML para tabela de pipelines: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&lt;div class="empty-state"&gt;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  &lt;span class="es-icon"&gt;≡&lt;/span&gt;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  &lt;p class="es-title"&gt;Nenhum pipeline encontrado&lt;/p&gt;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  &lt;p class="es-sub"&gt;Use os filtros acima e clique em Buscar para carregar os pipelines.&lt;/p&gt;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&lt;/div&gt;</w:t>
      </w:r>
    </w:p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O que foi avaliado positivamente — manter sem alteração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7500A"/>
          <w:sz w:val="22"/>
          <w:szCs w:val="22"/>
        </w:rPr>
        <w:t xml:space="preserve">Sistema de variáveis CSS (:root) bem estruturado com suporte completo a dark mode — base sólida para escalar o design system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7500A"/>
          <w:sz w:val="22"/>
          <w:szCs w:val="22"/>
        </w:rPr>
        <w:t xml:space="preserve">Aviso de Caps Lock no campo de senha — detalhe de UX corporativo bem pensado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7500A"/>
          <w:sz w:val="22"/>
          <w:szCs w:val="22"/>
        </w:rPr>
        <w:t xml:space="preserve">Sistema de botões (.btn, .btn-ghost, .btn-outline, .btn-danger, .btn-sm) — hierarquia correta, só requer ajuste de font-weight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7500A"/>
          <w:sz w:val="22"/>
          <w:szCs w:val="22"/>
        </w:rPr>
        <w:t xml:space="preserve">Limpeza de senha do DOM após login e limpeza de sessão no logout — boa prática de segurança mantida</w:t>
      </w:r>
    </w:p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Checklist de implementação</w:t>
      </w:r>
    </w:p>
    <w:p>
      <w:pPr>
        <w:spacing w:after="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1800"/>
        <w:gridCol w:w="1360"/>
      </w:tblGrid>
      <w:tr>
        <w:tc>
          <w:tcPr>
            <w:tcW w:type="dxa" w:w="14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Prioridade</w:t>
            </w:r>
          </w:p>
        </w:tc>
        <w:tc>
          <w:tcPr>
            <w:tcW w:type="dxa" w:w="38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Esforço estimado</w:t>
            </w:r>
          </w:p>
        </w:tc>
        <w:tc>
          <w:tcPr>
            <w:tcW w:type="dxa" w:w="13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Responsável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P0 — Urgente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Alterar &lt;title&gt; para ORQUESTRA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&lt; 1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P0 — Urgente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Alterar .hd-title para ORQUESTRA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&lt; 5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P0 — Urgente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Reduzir --radius para 16px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&lt; 1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P0 — Urgente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Reduzir font-weight: 800 → escala 400/500/600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30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P1 — Alta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Substituir todos os emojis funcionais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45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 + UX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P1 — Alta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Criar .card-section-head e remover .grad dos cards internos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30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P1 — Alta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Remover subtítulos técnicos de DAG dos headers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P1 — Alta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Adicionar tabs Dashboard e Logs com badge "em breve"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20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P1 — Alta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Criar classes .lineage-btn-ok e .lineage-btn-pending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15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P1 — Alta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Substituir status ✅/⏸ por ponto CSS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15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P1 — Alta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Padronizar textos de botões de 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P2 — Média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Criar classes utilitárias e substituir inline styles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P2 — Média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Criar .empty-state para tabelas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20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P2 — Média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Criar --shadow-card e aplicar nos cards internos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15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P3 — Baixa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Padronizar botão fechar modal como .btn-close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20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P3 — Baixa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Simplificar fundo body::before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P3 — Baixa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Substituir emoji do toggle de tema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P3 — Baixa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Remover emoji do modal de status DAG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P3 — Baixa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Melhorar empty state do modal Lineage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15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</w:t>
            </w:r>
          </w:p>
        </w:tc>
      </w:tr>
    </w:tbl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11. Aprovação do debate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Agente</w:t>
            </w:r>
          </w:p>
        </w:tc>
        <w:tc>
          <w:tcPr>
            <w:tcW w:type="dxa" w:w="26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Papel</w:t>
            </w:r>
          </w:p>
        </w:tc>
        <w:tc>
          <w:tcPr>
            <w:tcW w:type="dxa" w:w="43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Principal contribuição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Diana Costa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UX/UI Designer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Emojis, gradiente nos cards, border-radius, hierarquia visual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Thiago Lima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Tech Lead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Inline styles, font-weight sem hierarquia, manutenibilidade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Paula Mendes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Product 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Title da página, abas com roadmap, naming do header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Bruno Almeida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Analista de Negócios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Subtítulos técnicos de DAG, padronização de copy dos botões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Fernanda Dados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Engenharia de Dados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Gradiente repetido, botão Lineage com estilos inline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Carlos Secure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Security Engineer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Aviso de Caps Lock (manter), tratamento de erros de login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Documento gerado automaticamente com base no debate multidisciplinar sobre o arquivo index.html do ORQUESTRA.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Engenharia de Dados - CAIXA Vida e Previdencia</w:t>
    </w:r>
    <w:r>
      <w:rPr>
        <w:rFonts w:ascii="Arial" w:cs="Arial" w:eastAsia="Arial" w:hAnsi="Arial"/>
        <w:color w:val="888888"/>
        <w:sz w:val="18"/>
        <w:szCs w:val="18"/>
      </w:rPr>
      <w:t xml:space="preserve">	Pagina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FA8" w:sz="4" w:space="4"/>
      </w:pBdr>
      <w:spacing w:after="100"/>
    </w:pPr>
    <w:r>
      <w:rPr>
        <w:rFonts w:ascii="Arial" w:cs="Arial" w:eastAsia="Arial" w:hAnsi="Arial"/>
        <w:b/>
        <w:bCs/>
        <w:color w:val="1A5FA8"/>
        <w:sz w:val="18"/>
        <w:szCs w:val="18"/>
      </w:rPr>
      <w:t xml:space="preserve">ORQUESTRA (ORQ)</w:t>
    </w:r>
    <w:r>
      <w:rPr>
        <w:rFonts w:ascii="Arial" w:cs="Arial" w:eastAsia="Arial" w:hAnsi="Arial"/>
        <w:color w:val="666666"/>
        <w:sz w:val="18"/>
        <w:szCs w:val="18"/>
      </w:rPr>
      <w:t xml:space="preserve">   |   Especificacao de Melhorias Visuais e Padronizacao -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2026-05-30T06:04:26.882Z</dcterms:created>
  <dcterms:modified xsi:type="dcterms:W3CDTF">2026-05-30T06:04:26.884Z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