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7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860d"/>
          <w:sz w:val="21"/>
          <w:szCs w:val="21"/>
          <w:rtl w:val="0"/>
        </w:rPr>
        <w:t xml:space="preserve">RELATÓRIO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36"/>
          <w:szCs w:val="36"/>
          <w:rtl w:val="0"/>
        </w:rPr>
        <w:t xml:space="preserve">Portal de Cadastro </w:t>
      </w:r>
      <w:r w:rsidDel="00000000" w:rsidR="00000000" w:rsidRPr="00000000">
        <w:rPr>
          <w:b w:val="1"/>
          <w:bCs w:val="1"/>
          <w:color w:val="0b3f14"/>
          <w:sz w:val="36"/>
          <w:szCs w:val="36"/>
          <w:rtl w:val="0"/>
        </w:rPr>
        <w:t xml:space="preserve">e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Amarante [CSC] × Prottus  ·  Documento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Versão 2.0 — 21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Carlos Eduardo (Cadu) — Product Owner, Prottus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b2226"/>
          <w:sz w:val="20"/>
          <w:szCs w:val="20"/>
          <w:rtl w:val="0"/>
        </w:rPr>
        <w:t xml:space="preserve">USO INTERNO PROTTUS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Este documento não circula fora da Prottus. A especificação do produto está no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80" w:before="4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1. O que este documento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Este é o documento de gestão do projeto. Ele reúne o que a Prottus precisa saber para conduzir a entrega e o que não deve circular na frente do cliente: riscos, divergências entre documentos, erros já cometidos, e o que ainda não foi comunicado à Amarante.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versão anterior deste documento acumulava também a especificação do produto — fluxos, requisitos, regras, catálogo de melhorias. Isso saiu daqui e passou a viver no PRD, que é o documento compartilhado com a Amarante. Esta versão 2.0 fica só com o que é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2600"/>
        <w:gridCol w:w="1900"/>
        <w:gridCol w:w="5138"/>
        <w:tblGridChange w:id="0">
          <w:tblGrid>
            <w:gridCol w:w="2600"/>
            <w:gridCol w:w="1900"/>
            <w:gridCol w:w="51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só ele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PRD — Portal de Cadastro &amp;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e 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Especificação do produto: visão, jornada operacional, requisitos, regras, dados, integrações, critérios de aceite, glossário.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Geral — este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Somente 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Gestão: riscos, divergências, erros de documentação, ressalvas de método, capacidade e o que não foi comunicado.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Documento de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Fonte única de verdade, versionada e curta. Para retomar o projeto sem reler tudo.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Atas de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e 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Registro do que foi dito e decidido em cada encontro.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9"/>
                <w:szCs w:val="19"/>
                <w:rtl w:val="0"/>
              </w:rPr>
              <w:t xml:space="preserve">Por que separar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Um documento que mistura especificação e gestão de risco não pode ser mostrado ao cliente nem usado pelo dev. Ele acaba não servindo a ninguém.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fronteira agora é simples: se a Amarante precisa ler para validar, está no PRD. Se é sobre como estamos conduzindo o projeto, está aqui.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2. Estado do projeto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700"/>
        <w:gridCol w:w="7938"/>
        <w:tblGridChange w:id="0">
          <w:tblGrid>
            <w:gridCol w:w="1700"/>
            <w:gridCol w:w="79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[CSC] - Portal de Cadastro &amp; Solicitação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02/10/2026 — entrega para homologação, não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Dois módulos: Cadastro de Itens e Fiscal. Cadastro de Fornecedores na Fase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10 semanas, comprimido de 16. Escopo ampliado em 21/08 sem mudança de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Encerrada. Kick-off 30/07, campo Administrativo 18/08, reunião Fiscal 21/08.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Próxima 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Prototipação, a partir de 24/08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20,5 horas-pessoa acumuladas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Equipe 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Cadu (PO) e Sidney (liderança)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A leitura honesta do estado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projeto tem escopo bem entendido e mal dimensionado. Duas frentes de desenvolvimento, três integrações com sistemas de terceiros e um portal com acesso externo, em seis semanas, com o mesmo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que joga a favor: a descoberta foi boa, as regras estão claras, a operação participou do desenho e outubro foi acordado como período de ajuste com o sistema já rodando.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que joga contra: nenhuma das três integrações tem acesso liberado, e a autenticação do fornecedor externo ainda não foi decidida. Nenhum dos dois se resolve com esforço de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3. Histórico e esforço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1200"/>
        <w:gridCol w:w="4900"/>
        <w:gridCol w:w="1300"/>
        <w:gridCol w:w="2238"/>
        <w:tblGridChange w:id="0">
          <w:tblGrid>
            <w:gridCol w:w="1200"/>
            <w:gridCol w:w="4900"/>
            <w:gridCol w:w="1300"/>
            <w:gridCol w:w="22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Horas-pessoa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Kick-off presencial — Cadu e Sidney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Produção do Relatório de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Campo — operação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Ata de campo e documento de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Replanejamento — cronograma, horas e Asana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Reunião de entendimento — área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Documentação do módulo 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Total: 18,5 horas de relógio, 20,5 horas-pessoa. Registro em Controle de Horas Amarante CSC.xlsx.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5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9"/>
                <w:szCs w:val="19"/>
                <w:rtl w:val="0"/>
              </w:rPr>
              <w:t xml:space="preserve">Observação sobre o padrão de trabalho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Documentar na sequência da reunião, com o assunto fresco, evitou a perda de detalhe que costuma ocorrer quando a ata é escrita dias depois. Foi o que aconteceu em 21/08 — duas horas de reunião seguidas de duas horas de documentação.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Vale repetir esse padrão nos próximos encontros e orçá-lo como parte da atividade, não como extra.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4.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Em ordem de probabilidade de derrubar a entrega de 02/10.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600"/>
        <w:gridCol w:w="2700"/>
        <w:gridCol w:w="3700"/>
        <w:gridCol w:w="1350"/>
        <w:gridCol w:w="1288"/>
        <w:tblGridChange w:id="0">
          <w:tblGrid>
            <w:gridCol w:w="600"/>
            <w:gridCol w:w="2700"/>
            <w:gridCol w:w="3700"/>
            <w:gridCol w:w="1350"/>
            <w:gridCol w:w="128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Três integrações com sistemas de terceiros na mesma janela de seis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SAP, V360 nos dois sentidos e CM. Nenhuma tem especificação, credencial, ambiente de teste ou dono nomeado. O risco não é escrever o robô — é descobrir em setembro que não há acesso ao ambiente para escrevê-lo.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 (TI) + 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Autenticação do fornecedor externo não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Primeiro módulo com acesso de fora da rede, exibindo dados financeiros. É pré-requisito da regra inviolável de isolamento por CNPJ e define a modelagem de acesso do módulo inteiro. Trava a prototipação.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Cadu + 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Duas frentes de desenvolvimento em paralelo, na mesma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Itens e Fiscal correm juntos de S6 a S10. Atraso numa frente consome a outra. S7 tem 4 dias úteis e concentra a Tela 2 com o início do Centro de Custo.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Prottus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04/09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Amostra da base de itens sem dono e sem data desde 18/08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Sem ela não se calibra a busca por similaridade nem se deriva sugestão de NCM.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Erika / Beatriz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Lista oficial de famílias do PDM desconhecida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Sem ela a Tela 2 não existe nem como protótipo.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Detalhe das Divergências é funcionalidade sem 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Campo travado na tela do boleto, logo automático. Existe uma regra comparando boleto e nota que ninguém descreveu e que não está dimensionada.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Mariana /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Descrição do serviço pode exigir motor de 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 não for lista nem de-para, o módulo Fiscal muda de tamanho — vira algo com a complexidade do motor de NCM.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Mariana /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Extração de nota importada pode depender de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Se o V360 não guardar o XML da NFS-e, é OCR — que erra e muda de layout a cada prefeitura.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Mariana / Catarina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Atraso de duas semanas no início não absorvido pelo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Continua existindo. Gestão ficou do lado da Amarante. É o argumento factual caso a data aperte.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Amarante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Divergência do NCM não formalizada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PDF oficial promete automação total; a entrega será sugestão assistida.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Gargalo 2 do kick-off nunca verificado em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 Tela 2, a mais densa da frente de Itens, apoia-se num diagnóstico não confirmado.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5. Divergências e erros de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Achados da leitura cruzada de todo o material. Nenhum foi resolvido por conta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5.1 Contradições no material oficial da Amarante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500"/>
        <w:gridCol w:w="5300"/>
        <w:gridCol w:w="3838"/>
        <w:tblGridChange w:id="0">
          <w:tblGrid>
            <w:gridCol w:w="500"/>
            <w:gridCol w:w="5300"/>
            <w:gridCol w:w="38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Contradição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Encaminhamento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"Campo Finalidade, substituído pelo campo Observação" no detalhamento da Tela 2, mas "Preencher com a finalidade" no Fluxo Resumido, passo 11. Os dois campos coexistem no mesmo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Definir com a Amarante qual vale. PRD, questão Q01.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Centro de custo e unidade de medida aparecem no Fluxo Resumido mas não na lista detalhada de campos da Tela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Provável omissão. Incluído explicitamente no PRD, questão Q02.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"Campo NCM: Preenchimento automático pelo IA" vs. a constatação de campo de que a conferência humana é obrigatória.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Formalizar por escrito. É o risco de escopo mais caro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menu de fonte do produto oferece 0-Nacional e 1-Estrangeira, com ressalvas que citam os códigos 3 a 6. A tabela oficial de origem tem oito códigos; o documento expõe dois.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Perguntar ao Fiscal se a Amarante compra em outras origens. PRD, questão Q03.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5.2 Erros nos documentos produzidos pela Prottus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500"/>
        <w:gridCol w:w="5800"/>
        <w:gridCol w:w="3338"/>
        <w:tblGridChange w:id="0">
          <w:tblGrid>
            <w:gridCol w:w="500"/>
            <w:gridCol w:w="5800"/>
            <w:gridCol w:w="33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de Kick-off, Seção 6: tabela de SLA de fornecedor registra 2 e 3 dias úteis. O correto, pelo PDF oficial, é 5 + 5 + 1. A nota logo abaixo da própria tabela já afirmava ter mantido os números do PDF — o documento se contradiz uma linha depois de si mesmo.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DOCUMENTO JÁ ENTREGUE AO CLIENTE. Corrigir e reemitir.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Contexto v2 registrava o trabalho de campo como 17/08 em cinco lugares. A ata e o controle de horas dizem 18/08.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Corrigido a partir da v3.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Contexto v2 afirmava que os cinco gargalos do kick-off foram confirmados em campo. Um deles foi substituído por um problema novo e nunca verificado.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Corrigido. Ver Seção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Geral v1.0 misturava especificação de produto com gestão de risco, criando sobreposição com os PRDs parciais.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Corrigido nesta versão 2.0. Especificação migrou para o PRD.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5.3 Pontos ouvidos em reunião, sem respaldo documental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500"/>
        <w:gridCol w:w="4300"/>
        <w:gridCol w:w="4838"/>
        <w:tblGridChange w:id="0">
          <w:tblGrid>
            <w:gridCol w:w="500"/>
            <w:gridCol w:w="4300"/>
            <w:gridCol w:w="48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Meta intermediária de 2 dias úteis para o SLA do Administrativo na fase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Pendente. Sugere etapa humana não mapeada no setor de ativo fixo do SAP.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Recorte "fornecedores de serviço na V1, mercadoria na V2"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Pendente. Pertence à Fase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Quarto status de compliance: "aprovado com ressalvas", registrado por um coordenador entendido como "Airon"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Pendente. Pertence à Fase 2. Nome a confirmar.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"SLA de seis dias úteis para o processo completo", ouvido na gravação do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Descartado. Não bate com 5+5+1 do PDF oficial. Tratado como lapso de fala.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D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9"/>
                <w:szCs w:val="19"/>
                <w:rtl w:val="0"/>
              </w:rPr>
              <w:t xml:space="preserve">Sobre a transcrição automática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Dois erros de reconhecimento já foram confirmados na transcrição do kick-off: os tipos de fornecedor foram registrados como "CNPJ, CPF, internacional ou cursos" — era "órgão público"; e o Cadu chegou a ser descrito como parte da equipe contábil da Amarante, quando é o PO pela Prottus.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Por isso a transcrição é a última da hierarquia de fontes. Serve para lembrar do que foi falado, nunca para provar.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6. Ressalvas de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Erros de condução já cometidos, registrados para não se repetirem. Esta seção é a razão principal de este documento ser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6.1 O gargalo que nunca foi verificado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No kick-off, o gargalo 2 era "falta de atributos e finalidade do item, prejudicando a descrição e a classificação do NCM". No documento de contexto, ele virou "ausência de indicação automática de NCM" — que é um problema diferente, surgido em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Resultado: quatro gargalos originais confirmados, um novo descoberto, e um original que nunca foi a campo. A afirmação "cinco de cinco confirmados" não se sustentava.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D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Por que isso aconteceu, e por que importa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Entrei no acompanhamento de 18/08 com a lista dos cinco gargalos na cabeça e saí com os cinco confirmados. Um resultado limpo demais para ser aceito sem ceticismo — ou o diagnóstico do kick-off era muito bom, ou a ida a campo foi conduzida procurando o que já se esperava encontrar.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Era o segundo caso. E o gargalo que sumiu é justamente a justificativa da Tela 2, a mais densa da frente de Itens. Estamos prestes a construí-la sobre um diagnóstico que ninguém foi conferir.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Continua em aberto como questão Q09 do PRD.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6.2 A hipótese errada sobre o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Para a reunião de 21/08 eu preparei um roteiro assumindo que a conversa seria sobre NCM. O raciocínio: o fluxo de cadastro de item tem só dois atores, e o campo mais disputado é uma classificação fiscal — logo, ou o Administrativo classifica sozinho, ou o Fiscal participa por fora, ou o Fiscal só descobre o erro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Nenhuma das três. A área Fiscal não opera o cadastro de itens. Opera notas </w:t>
      </w:r>
      <w:r w:rsidDel="00000000" w:rsidR="00000000" w:rsidRPr="00000000">
        <w:rPr>
          <w:rtl w:val="0"/>
        </w:rPr>
        <w:t xml:space="preserve">fiscais no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V360.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E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salvou a reunião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documento prévio foi montado com a observação aberta ANTES das perguntas dirigidas, e com instrução explícita de não abrir pelo roteiro. Foi decisão deliberada, tomada exatamente por causa do erro de 18/08.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Se eu tivesse aberto pelas minhas hipóteses, teria puxado a conversa para o NCM e saído com respostas educadas sobre um assunto que não é o deles — e sem o módulo Fiscal.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lição que fica: quando se entra em campo com hipótese, a hipótese precisa vir depois da escuta. Sempre.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3"/>
          <w:szCs w:val="23"/>
          <w:rtl w:val="0"/>
        </w:rPr>
        <w:t xml:space="preserve">6.3 O problema que ficou sete semanas parado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O relatório de kick-off, de 30/07, já registrava: "o V360 captura notas fiscais de serviço sem centro de custo ou dados de contrato, travando o fluxo de aprovação e os pagamentos". É a dor central do módulo Fiscal, descrita com quase as mesmas palavras, sete semanas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="2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Ela ficou parada não por falta de diagnóstico, mas por falta de desenho e de dono. Bastaram duas horas com as pessoas certas para resolver o que sete semanas de documento não resolveram.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0" w:val="nil"/>
          <w:left w:color="c8860d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E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8860d"/>
                <w:sz w:val="19"/>
                <w:szCs w:val="19"/>
                <w:rtl w:val="0"/>
              </w:rPr>
              <w:t xml:space="preserve">A pergunta que isso levanta sobre o resto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Problema documentado não é problema endereçado. O item ficou numa lista de V2 sem que ninguém percebesse que ele já tinha dono natural — bastava chamar.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Há quatro pendências abertas desde o kick-off que nunca tiveram cobrança formal: o documento com as regras completas do processo, os vídeos do processo atual, a viabilidade de inserção de itens via API e as soluções de mercado para acompanhamento de pedidos.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Vale perguntar se alguma delas está parada pelo mesmo motivo.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7. Capacidade e cronograma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800"/>
        <w:gridCol w:w="1700"/>
        <w:gridCol w:w="7138"/>
        <w:tblGridChange w:id="0">
          <w:tblGrid>
            <w:gridCol w:w="800"/>
            <w:gridCol w:w="1700"/>
            <w:gridCol w:w="71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24/08 – 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Fechamento da descoberta, arquitetura, ambientes, decisão das integrações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31/08 – 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Fundação, autenticação, Tela 1 e estrutura do portal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07/09 – 11/09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4 DIAS ÚTEIS — feriado 07/09. Tela 2 e Centro de Custo e Pagamento juntos. Semana mais apertada do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14/09 – 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Motor de NCM, lote, descrição do serviço, regularização cadastral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21/09 – 25/09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Fila do Administrativo, ciclo de vida, importação por PDF, extemporâneas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28/09 – 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Integrações, estabilização, carga da amostra,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S11+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Operação assistida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0" w:val="nil"/>
          <w:left w:color="9b2226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0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b2226"/>
                <w:sz w:val="19"/>
                <w:szCs w:val="19"/>
                <w:rtl w:val="0"/>
              </w:rPr>
              <w:t xml:space="preserve">O que a tabela não mostra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As duas frentes usam o mesmo time. Não há folga entre elas, e não há semana de contingência antes de 02/10.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Se a integração com o V360 exigir RPA em vez de API, o esforço de S7 a S10 cresce sem que nada saia do escopo. É o cenário mais provável de estouro.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8. O que ainda não foi comunicado à Amarante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500"/>
        <w:gridCol w:w="3800"/>
        <w:gridCol w:w="2000"/>
        <w:gridCol w:w="3338"/>
        <w:tblGridChange w:id="0">
          <w:tblGrid>
            <w:gridCol w:w="500"/>
            <w:gridCol w:w="3800"/>
            <w:gridCol w:w="2000"/>
            <w:gridCol w:w="33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Divergência do NCM: o PDF promete automação total, a entrega será sugestão assistida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Não formalizado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Registrar por escrito antes do início do desenvolvimento do motor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Erro de SLA de fornecedor no Relatório de Kick-off já 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Não corrigido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Reemitir o documento corrigido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gargalo 2 do kick-off nunca foi verificado em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Não mencionado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Verificar antes de construir a Tela 2, ou assumir o risco explicitamente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O Cadastro de Fornecedores voltou parcialmente ao escopo, como modelo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Não mencionado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Explicar na próxima conversa de escopo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0" w:val="nil"/>
          <w:left w:color="0b3f14" w:space="0" w:sz="18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shd w:fill="f7f7f4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2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f14"/>
                <w:sz w:val="19"/>
                <w:szCs w:val="19"/>
                <w:rtl w:val="0"/>
              </w:rPr>
              <w:t xml:space="preserve">O que já está alinhado, e não precisa mais estar nesta lista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meta de conclusão em outubro foi debatida e acordada entre todos na reunião de 21/08, com o entendimento de que outubro serve como período de ajuste com a operação rodando.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7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atraso de duas semanas no início é conhecido pelas duas partes e a gestão dele ficou do lado da Amarante, como pendência urgente.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1"/>
        <w:pageBreakBefore w:val="1"/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b3f14"/>
          <w:sz w:val="28"/>
          <w:szCs w:val="28"/>
          <w:rtl w:val="0"/>
        </w:rPr>
        <w:t xml:space="preserve">9. Documentos do projeto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e8e8e8" w:space="0" w:sz="4" w:val="single"/>
          <w:insideV w:color="e8e8e8" w:space="0" w:sz="4" w:val="single"/>
        </w:tblBorders>
        <w:tblLayout w:type="fixed"/>
        <w:tblLook w:val="0000"/>
      </w:tblPr>
      <w:tblGrid>
        <w:gridCol w:w="4900"/>
        <w:gridCol w:w="4738"/>
        <w:tblGridChange w:id="0">
          <w:tblGrid>
            <w:gridCol w:w="4900"/>
            <w:gridCol w:w="4738"/>
          </w:tblGrid>
        </w:tblGridChange>
      </w:tblGrid>
      <w:tr>
        <w:trPr>
          <w:cantSplit w:val="1"/>
          <w:tblHeader w:val="1"/>
        </w:trPr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f14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PRD — Portal de Cadastro &amp; Solicitação (docx e 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Vigente. Documento mestre do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Geral do Produto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Vigente. Este documento.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Contexto do Projeto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Vigente. Fonte única de verdade.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Ata de Reunião — Área Fiscal — 21/08/2026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Ata de Acompanhamento de Campo — 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Vigente. Unidade do CSC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de Kick-off — 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Contém erro de SLA de fornecedor. Ver D5.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Cronograma Amarante CSC.xlsx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Vigente. Duas frentes em paralelo, 10 riscos.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Controle de Horas Amarante CSC.xlsx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Vigente. 20,5 horas-pessoa.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PRD - Cadastro de Itens (parcial)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SUBSTITUÍDO pelo PRD mestre. Remover.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PRD - Modulo Fiscal (parcial)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SUBSTITUÍDO pelo PRD mestre. Remover.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Contexto v1, v2, v3,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SUBSTITUÍDOS pela v5. Remover.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Relatório Geral v1.0 e 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SUBSTITUÍDOS por esta versão. Remover.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PPT e PDF oficiais da Amarante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Fontes primárias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Asana — Amarante [CSC] - Portal de Cadastro &amp;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3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line="2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Backlog operacional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0" w:line="2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Documento interno elaborado por Carlos Eduardo (Cadu), Product Owner do projeto pela Prottus.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200" w:top="1300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Bdr>
        <w:top w:color="dddddd" w:space="0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Uso interno Prottus · Relatório Geral v2.0 — 21/08/2026   · 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bottom w:color="9b2226" w:space="0" w:sz="6" w:val="single"/>
      </w:pBdr>
      <w:spacing w:after="6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9b2226"/>
        <w:sz w:val="15"/>
        <w:szCs w:val="15"/>
        <w:rtl w:val="0"/>
      </w:rPr>
      <w:t xml:space="preserve">USO INTERNO PROTTUS</w:t>
    </w:r>
    <w:r w:rsidDel="00000000" w:rsidR="00000000" w:rsidRPr="00000000">
      <w:rPr>
        <w:rFonts w:ascii="Arial" w:cs="Arial" w:eastAsia="Arial" w:hAnsi="Arial"/>
        <w:color w:val="666666"/>
        <w:sz w:val="15"/>
        <w:szCs w:val="15"/>
        <w:rtl w:val="0"/>
      </w:rPr>
      <w:t xml:space="preserve">   |   Relatório Geral do Produto — Portal de Cadastro &amp; Solicitação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