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40"/>
        <w:gridCol w:w="1400"/>
        <w:gridCol w:w="4340"/>
      </w:tblGrid>
      <w:tr>
        <w:tc>
          <w:tcPr>
            <w:tcW w:type="dxa" w:w="43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6002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9C9C9"/>
                <w:sz w:val="32"/>
                <w:szCs w:val="32"/>
              </w:rPr>
              <w:t xml:space="preserve">×</w:t>
            </w:r>
          </w:p>
        </w:tc>
        <w:tc>
          <w:tcPr>
            <w:tcW w:type="dxa" w:w="434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81125" cy="838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760"/>
      </w:pPr>
    </w:p>
    <w:p>
      <w:pPr>
        <w:pBdr>
          <w:bottom w:val="single" w:color="C8860D" w:sz="12" w:space="10"/>
        </w:pBdr>
        <w:spacing w:after="200"/>
        <w:jc w:val="center"/>
      </w:pPr>
      <w:r>
        <w:rPr>
          <w:sz w:val="12"/>
          <w:szCs w:val="12"/>
        </w:rPr>
        <w:t xml:space="preserve"> 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B3F14"/>
          <w:sz w:val="44"/>
          <w:szCs w:val="44"/>
        </w:rPr>
        <w:t xml:space="preserve">ATA DE ACOMPANHAMENTO EM CAMPO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A5A5A"/>
          <w:sz w:val="26"/>
          <w:szCs w:val="26"/>
        </w:rPr>
        <w:t xml:space="preserve">Portal de Cadastro e Solicitações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8860D"/>
          <w:sz w:val="24"/>
          <w:szCs w:val="24"/>
        </w:rPr>
        <w:t xml:space="preserve">18 DE AGOSTO DE 2026</w:t>
      </w:r>
    </w:p>
    <w:p>
      <w:pPr>
        <w:spacing w:after="3400"/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09h00 às 12h30  ·  CSC Amarante  ·  Presencial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Elaborado por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3F14"/>
          <w:sz w:val="22"/>
          <w:szCs w:val="22"/>
        </w:rPr>
        <w:t xml:space="preserve">Carlos Eduardo (Cadu)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Product Owner  ·  Prottus Inteligência e Tecnologia</w:t>
      </w:r>
    </w:p>
    <w:p>
      <w:r>
        <w:br w:type="page"/>
      </w:r>
    </w:p>
    <w:p>
      <w:pPr>
        <w:pStyle w:val="Heading1"/>
        <w:pBdr>
          <w:bottom w:val="single" w:color="C8860D" w:sz="10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8860D"/>
          <w:sz w:val="26"/>
          <w:szCs w:val="26"/>
        </w:rPr>
        <w:t xml:space="preserve">1.  </w:t>
      </w:r>
      <w:r>
        <w:rPr>
          <w:rFonts w:ascii="Calibri" w:cs="Calibri" w:eastAsia="Calibri" w:hAnsi="Calibri"/>
          <w:b/>
          <w:bCs/>
          <w:color w:val="0B3F14"/>
          <w:sz w:val="26"/>
          <w:szCs w:val="26"/>
        </w:rPr>
        <w:t xml:space="preserve">IDENTIFICAÇÃO DA ATIVIDADE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Projeto</w:t>
            </w:r>
          </w:p>
        </w:tc>
        <w:tc>
          <w:tcPr>
            <w:tcW w:type="dxa" w:w="74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Portal de Cadastro e Solicitações — Amarante × Prottus</w:t>
            </w:r>
          </w:p>
        </w:tc>
      </w:tr>
      <w:tr>
        <w:tc>
          <w:tcPr>
            <w:tcW w:type="dxa" w:w="2600"/>
            <w:shd w:fill="FA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Data</w:t>
            </w:r>
          </w:p>
        </w:tc>
        <w:tc>
          <w:tcPr>
            <w:tcW w:type="dxa" w:w="7480"/>
            <w:shd w:fill="FA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18 de agosto de 2026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Horário</w:t>
            </w:r>
          </w:p>
        </w:tc>
        <w:tc>
          <w:tcPr>
            <w:tcW w:type="dxa" w:w="74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09h00 às 12h30 (3h30 de duração)</w:t>
            </w:r>
          </w:p>
        </w:tc>
      </w:tr>
      <w:tr>
        <w:tc>
          <w:tcPr>
            <w:tcW w:type="dxa" w:w="2600"/>
            <w:shd w:fill="FA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Local</w:t>
            </w:r>
          </w:p>
        </w:tc>
        <w:tc>
          <w:tcPr>
            <w:tcW w:type="dxa" w:w="7480"/>
            <w:shd w:fill="FA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CSC Amarante — [confirmar unidade]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Modalidade</w:t>
            </w:r>
          </w:p>
        </w:tc>
        <w:tc>
          <w:tcPr>
            <w:tcW w:type="dxa" w:w="74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Presencial</w:t>
            </w:r>
          </w:p>
        </w:tc>
      </w:tr>
      <w:tr>
        <w:tc>
          <w:tcPr>
            <w:tcW w:type="dxa" w:w="2600"/>
            <w:shd w:fill="FA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Natureza</w:t>
            </w:r>
          </w:p>
        </w:tc>
        <w:tc>
          <w:tcPr>
            <w:tcW w:type="dxa" w:w="7480"/>
            <w:shd w:fill="FA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Acompanhamento em campo da operação (observação direta)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Redator</w:t>
            </w:r>
          </w:p>
        </w:tc>
        <w:tc>
          <w:tcPr>
            <w:tcW w:type="dxa" w:w="74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Carlos Eduardo (Cadu) — Product Owner, Prottus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B3F14"/>
          <w:sz w:val="23"/>
          <w:szCs w:val="23"/>
        </w:rPr>
        <w:t xml:space="preserve">Participantes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3680"/>
        <w:gridCol w:w="3200"/>
      </w:tblGrid>
      <w:tr>
        <w:trPr>
          <w:tblHeader/>
        </w:trPr>
        <w:tc>
          <w:tcPr>
            <w:tcW w:type="dxa" w:w="320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68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Empresa / Área</w:t>
            </w:r>
          </w:p>
        </w:tc>
        <w:tc>
          <w:tcPr>
            <w:tcW w:type="dxa" w:w="320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Carlos Eduardo (Cadu)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Prottus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Product Owner do projeto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Erika Fouchard</w:t>
            </w:r>
          </w:p>
        </w:tc>
        <w:tc>
          <w:tcPr>
            <w:tcW w:type="dxa" w:w="3680"/>
            <w:shd w:fill="FA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Amarante — Administrativo</w:t>
            </w:r>
          </w:p>
        </w:tc>
        <w:tc>
          <w:tcPr>
            <w:tcW w:type="dxa" w:w="3200"/>
            <w:shd w:fill="FA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Coordenadora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Beatriz Staudinger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Amarante — Administrativo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Operadora</w:t>
            </w:r>
          </w:p>
        </w:tc>
      </w:tr>
    </w:tbl>
    <w:p>
      <w:pPr>
        <w:pStyle w:val="Heading1"/>
        <w:pBdr>
          <w:bottom w:val="single" w:color="C8860D" w:sz="10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8860D"/>
          <w:sz w:val="26"/>
          <w:szCs w:val="26"/>
        </w:rPr>
        <w:t xml:space="preserve">2.  </w:t>
      </w:r>
      <w:r>
        <w:rPr>
          <w:rFonts w:ascii="Calibri" w:cs="Calibri" w:eastAsia="Calibri" w:hAnsi="Calibri"/>
          <w:b/>
          <w:bCs/>
          <w:color w:val="0B3F14"/>
          <w:sz w:val="26"/>
          <w:szCs w:val="26"/>
        </w:rPr>
        <w:t xml:space="preserve">OBJETIVO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Acompanhar presencialmente a operação diária do time Administrativo na plataforma Semplice, com o objetivo de validar em campo os gargalos que, até esta data, haviam sido levantados apenas de forma teórica na reunião de kick-off de 30 de julho de 2026.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Sobre a plataforma Semplice: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trata-se do sistema SaaS desenvolvido por terceiros e atualmente utilizado pela Amarante para gerenciar as demandas de solicitações de compra de seus hotéis. É precisamente este sistema que o projeto em curso se propõe a reconstruir de forma aprimorada.</w:t>
      </w:r>
    </w:p>
    <w:p>
      <w:pPr>
        <w:pStyle w:val="Heading1"/>
        <w:pBdr>
          <w:bottom w:val="single" w:color="C8860D" w:sz="10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8860D"/>
          <w:sz w:val="26"/>
          <w:szCs w:val="26"/>
        </w:rPr>
        <w:t xml:space="preserve">3.  </w:t>
      </w:r>
      <w:r>
        <w:rPr>
          <w:rFonts w:ascii="Calibri" w:cs="Calibri" w:eastAsia="Calibri" w:hAnsi="Calibri"/>
          <w:b/>
          <w:bCs/>
          <w:color w:val="0B3F14"/>
          <w:sz w:val="26"/>
          <w:szCs w:val="26"/>
        </w:rPr>
        <w:t xml:space="preserve">CONTEXTO E MÉTODO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No kick-off, os gargalos, oportunidades e propostas de fluxo ideal foram mapeados a partir do relato dos stakeholders e da documentação oficial da Amarante — o PPT de fluxo de cadastro de item e fornecedor e o PDF do novo portal de cadastros. Nenhum desses pontos havia sido observado diretamente na operação.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Este acompanhamento consistiu em observação direta dos operadores executando suas rotinas no sistema, acompanhada de conversa com o time sobre as dores percebidas e as soluções que eles próprios enxergam.</w:t>
      </w:r>
    </w:p>
    <w:p>
      <w:pPr>
        <w:pStyle w:val="Heading1"/>
        <w:pBdr>
          <w:bottom w:val="single" w:color="C8860D" w:sz="10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8860D"/>
          <w:sz w:val="26"/>
          <w:szCs w:val="26"/>
        </w:rPr>
        <w:t xml:space="preserve">4.  </w:t>
      </w:r>
      <w:r>
        <w:rPr>
          <w:rFonts w:ascii="Calibri" w:cs="Calibri" w:eastAsia="Calibri" w:hAnsi="Calibri"/>
          <w:b/>
          <w:bCs/>
          <w:color w:val="0B3F14"/>
          <w:sz w:val="26"/>
          <w:szCs w:val="26"/>
        </w:rPr>
        <w:t xml:space="preserve">CONSTATAÇÕES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B3F14"/>
          <w:sz w:val="23"/>
          <w:szCs w:val="23"/>
        </w:rPr>
        <w:t xml:space="preserve">4.1  Síntese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Todos os cinco gargalos documentados no kick-off foram confirmados em campo.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Nenhum se mostrou infundado, exagerado ou já resolvido. A observação direta acrescentou aos diagnósticos teóricos a mecânica concreta de como cada problema se manifesta no dia a dia e, em vários casos, a solução proposta pelos próprios operadores.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B3F14"/>
          <w:sz w:val="23"/>
          <w:szCs w:val="23"/>
        </w:rPr>
        <w:t xml:space="preserve">4.2  Diagnóstico central: usabilidade, não dados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A principal constatação do dia é que a maior parte das dificuldades não decorre da modelagem ou da qualidade dos dados, mas da falta de responsividade do sistema ao uso real do operador.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O sistema não acompanha o ritmo nem a lógica de trabalho de quem o utiliza.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São falhas de baixa complexidade técnica e alto impacto na percepção do usuário. Detalhes aparentemente pequenos mudam completamente a relação do time com a ferramenta — e é exatamente esse o trabalho que estamos conduzindo: moldar o sistema ao uso real da operação.</w:t>
      </w:r>
    </w:p>
    <w:tbl>
      <w:tblPr>
        <w:tblW w:type="dxa" w:w="10080"/>
        <w:tblBorders>
          <w:top w:val="none" w:sz="0"/>
          <w:left w:val="single" w:color="0B3F14" w:sz="18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3F14"/>
                <w:sz w:val="17"/>
                <w:szCs w:val="17"/>
              </w:rPr>
              <w:t xml:space="preserve">DIRETRIZ DE PROJETO</w:t>
            </w:r>
          </w:p>
          <w:p>
            <w:pPr>
              <w:spacing w:after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Experiência de uso deve ser tratada como requisito de primeira ordem no novo portal, e não como refinamento posterior. Foi o que a operação me mostrou com mais clareza neste acompanhamento.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B3F14"/>
          <w:sz w:val="23"/>
          <w:szCs w:val="23"/>
        </w:rPr>
        <w:t xml:space="preserve">4.3  Confirmação dos gargalos, item a item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8860D"/>
          <w:sz w:val="21"/>
          <w:szCs w:val="21"/>
        </w:rPr>
        <w:t xml:space="preserve">Gargalo 1 — Cadastro de itens em duplicidade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Confirmado.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O sistema permite cadastrar itens distintos com diferença de um único caractere, e a busca não indica ao usuário quais itens semelhantes já existem na base. A duplicidade é, portanto, consequência direta de uma busca ineficaz — não de descuido do operador.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Solução apontada pelo setor: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padronizar o registro de dados de itens e de fornecedores integralmente em caixa alta, independentemente de como o usuário digite. A normalização elimina divergências de capitalização como fonte de duplicidade e torna a busca mais previsível.</w:t>
      </w:r>
    </w:p>
    <w:tbl>
      <w:tblPr>
        <w:tblW w:type="dxa" w:w="10080"/>
        <w:tblBorders>
          <w:top w:val="none" w:sz="0"/>
          <w:left w:val="single" w:color="C8860D" w:sz="18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860D"/>
                <w:sz w:val="17"/>
                <w:szCs w:val="17"/>
              </w:rPr>
              <w:t xml:space="preserve">OBSERVAÇÃO MINHA</w:t>
            </w:r>
          </w:p>
          <w:p>
            <w:pPr>
              <w:spacing w:after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normalização em caixa alta é um requisito novo, não previsto na documentação de kick-off, e vale tanto para itens quanto para fornecedores. Registro, porém, que ela reduz ruído mas não resolve o gargalo: descrições diferentes para o mesmo produto continuarão gerando cadastros distintos. O remédio de fato é a busca por similaridade com lista suspensa de itens já cadastrados, conforme previsto no kick-off. As duas medidas são complementares.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8860D"/>
          <w:sz w:val="21"/>
          <w:szCs w:val="21"/>
        </w:rPr>
        <w:t xml:space="preserve">Gargalo 2 — Ausência de indicação automática de NCM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Confirmado.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O sistema não oferece qualquer apoio à classificação fiscal do item.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Solução apontada pelos operadores: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quando a solicitação do produto chega ao operador do Administrativo, o sistema deve apresentar uma pré-indicação de NCMs possíveis, derivada de classificações realizadas anteriormente para itens de perfil semelhante. O operador passa a escolher entre sugestões em vez de partir do zero.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8860D"/>
          <w:sz w:val="21"/>
          <w:szCs w:val="21"/>
        </w:rPr>
        <w:t xml:space="preserve">Gargalo 3 — Busca manual de NCM, lenta e sujeita a erro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Confirmado.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Diretamente ligado ao gargalo 2. Cada usuário precisa pesquisar extensivamente o item para chegar ao NCM correto, o que atrasa toda a cadeia de aprovação.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Restrição relevante: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 classificação fiscal não pode ser totalmente automatizada, por envolver julgamento subjetivo de natureza fiscal. A conferência humana permanece obrigatória. O ganho pretendido é de velocidade, por meio da pré-indicação descrita no gargalo 2 — não de substituição do operador. Isso reforça a diretriz já registrada no kick-off, de que a classificação assistida por IA está sempre sujeita a conferência humana do time Administrativo.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8860D"/>
          <w:sz w:val="21"/>
          <w:szCs w:val="21"/>
        </w:rPr>
        <w:t xml:space="preserve">Gargalo 4 — Solicitações incompletas sem prazo de expiração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Confirmado.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Os usuários criam múltiplas solicitações incompletas que permanecem indefinidamente na lista, poluindo a visualização do dia a dia sem qualquer utilidade prática. O volume de registros inúteis compete por atenção com as solicitações que de fato exigem ação.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C8860D"/>
          <w:sz w:val="21"/>
          <w:szCs w:val="21"/>
        </w:rPr>
        <w:t xml:space="preserve">Gargalo 5 — Impossibilidade de cadastro em lote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Confirmado.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Não é possível registrar múltiplos itens de uma vez, o que torna o processo moroso e repetitivo.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Solução definida em campo: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agrupar as solicitações por família de itens. Dentro de uma mesma família, o solicitante poderá cadastrar diversos itens em uma única solicitação. A justificativa é operacional e veio de quem avalia: o operador do Administrativo recebe um conjunto de itens coerentes entre si, o que torna a avaliação mais rápida e menos sujeita a erro do que analisar itens de naturezas distintas na mesma solicitação.</w:t>
      </w:r>
    </w:p>
    <w:tbl>
      <w:tblPr>
        <w:tblW w:type="dxa" w:w="10080"/>
        <w:tblBorders>
          <w:top w:val="none" w:sz="0"/>
          <w:left w:val="single" w:color="0B3F14" w:sz="18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3F14"/>
                <w:sz w:val="17"/>
                <w:szCs w:val="17"/>
              </w:rPr>
              <w:t xml:space="preserve">PONTO ENCERRADO</w:t>
            </w:r>
          </w:p>
          <w:p>
            <w:pPr>
              <w:spacing w:after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Este ponto encerra a divergência que eu havia registrado no kick-off, em que minha anotação pessoal indicava lote com famílias diferentes e a gravação indicava restrição à mesma família.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Fica definido: agrupamento por mesma família.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Ainda preciso confirmar com a Amarante a lista oficial de famílias de itens conforme o PDM — "uso e consumo" foi citado apenas como exemplo ilustrativo durante a conversa e não vale como nomenclatura.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B3F14"/>
          <w:sz w:val="23"/>
          <w:szCs w:val="23"/>
        </w:rPr>
        <w:t xml:space="preserve">4.4  Ponto adicional identificado — notificações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As notificações de solicitações não funcionam conforme o esperado, gerando frustração recorrente nos operadores e erosão da confiança na plataforma. É um problema pontual, de escopo contido, mas com efeito desproporcional sobre a percepção geral do sistema.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Não configura alteração de escopo do projeto, e sim confirmação da relevância do requisito de sinalização visual clara de notificações, pendências e prioridade, já previsto no kick-off.</w:t>
      </w:r>
    </w:p>
    <w:p>
      <w:pPr>
        <w:pStyle w:val="Heading1"/>
        <w:pBdr>
          <w:bottom w:val="single" w:color="C8860D" w:sz="10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8860D"/>
          <w:sz w:val="26"/>
          <w:szCs w:val="26"/>
        </w:rPr>
        <w:t xml:space="preserve">5.  </w:t>
      </w:r>
      <w:r>
        <w:rPr>
          <w:rFonts w:ascii="Calibri" w:cs="Calibri" w:eastAsia="Calibri" w:hAnsi="Calibri"/>
          <w:b/>
          <w:bCs/>
          <w:color w:val="0B3F14"/>
          <w:sz w:val="26"/>
          <w:szCs w:val="26"/>
        </w:rPr>
        <w:t xml:space="preserve">IMPACTO SOBRE O PROJETO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Escopo, cronograma e prioridades permanecem inalterados.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Não surgiu nenhum requisito que altere a estrutura do projeto definida no kick-off. Os pontos adicionais levantados dizem respeito ao aprimoramento do fluxo geral da operação, não a mudanças estruturais.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O ganho deste acompanhamento é de outra natureza: substituiu diagnóstico teórico por evidência observada e trouxe soluções propostas pelos próprios usuários, o que reduz o risco de construirmos funcionalidades desalinhadas da operação real.</w:t>
      </w:r>
    </w:p>
    <w:p>
      <w:pPr>
        <w:pStyle w:val="Heading1"/>
        <w:pBdr>
          <w:bottom w:val="single" w:color="C8860D" w:sz="10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8860D"/>
          <w:sz w:val="26"/>
          <w:szCs w:val="26"/>
        </w:rPr>
        <w:t xml:space="preserve">6.  </w:t>
      </w:r>
      <w:r>
        <w:rPr>
          <w:rFonts w:ascii="Calibri" w:cs="Calibri" w:eastAsia="Calibri" w:hAnsi="Calibri"/>
          <w:b/>
          <w:bCs/>
          <w:color w:val="0B3F14"/>
          <w:sz w:val="26"/>
          <w:szCs w:val="26"/>
        </w:rPr>
        <w:t xml:space="preserve">ENCAMINHAMENTOS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00"/>
        <w:gridCol w:w="5400"/>
        <w:gridCol w:w="2480"/>
        <w:gridCol w:w="1600"/>
      </w:tblGrid>
      <w:tr>
        <w:trPr>
          <w:tblHeader/>
        </w:trPr>
        <w:tc>
          <w:tcPr>
            <w:tcW w:type="dxa" w:w="60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248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60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Articular internamente a disponibilização de uma amostra da base de dados de itens e de fornecedores, para viabilizar a prototipação das primeiras versões do portal e sua validação com a equipe</w:t>
            </w:r>
          </w:p>
        </w:tc>
        <w:tc>
          <w:tcPr>
            <w:tcW w:type="dxa" w:w="24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Erika Fouchard e Beatriz Staudinger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 definir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Nenhum outro encaminhamento formal foi acordado. Novo encontro presencial já está previsto para sexta-feira, 21 de agosto de 2026, com foco na continuidade dos trabalhos junto à área Fiscal.</w:t>
      </w:r>
    </w:p>
    <w:tbl>
      <w:tblPr>
        <w:tblW w:type="dxa" w:w="10080"/>
        <w:tblBorders>
          <w:top w:val="none" w:sz="0"/>
          <w:left w:val="single" w:color="C8860D" w:sz="18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860D"/>
                <w:sz w:val="17"/>
                <w:szCs w:val="17"/>
              </w:rPr>
              <w:t xml:space="preserve">PONTO DE ATENÇÃO</w:t>
            </w:r>
          </w:p>
          <w:p>
            <w:pPr>
              <w:spacing w:after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amostra da base de dados é o insumo que destrava a prototipação e ficou sem prazo e sem dono nominal. Devo cobrar definição de data já no encontro de 21/08.</w:t>
            </w:r>
          </w:p>
        </w:tc>
      </w:tr>
    </w:tbl>
    <w:p>
      <w:pPr>
        <w:pStyle w:val="Heading1"/>
        <w:pBdr>
          <w:bottom w:val="single" w:color="C8860D" w:sz="10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8860D"/>
          <w:sz w:val="26"/>
          <w:szCs w:val="26"/>
        </w:rPr>
        <w:t xml:space="preserve">7.  </w:t>
      </w:r>
      <w:r>
        <w:rPr>
          <w:rFonts w:ascii="Calibri" w:cs="Calibri" w:eastAsia="Calibri" w:hAnsi="Calibri"/>
          <w:b/>
          <w:bCs/>
          <w:color w:val="0B3F14"/>
          <w:sz w:val="26"/>
          <w:szCs w:val="26"/>
        </w:rPr>
        <w:t xml:space="preserve">PONTOS A CONFIRMAR COM A AMARANTE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Lista oficial das famílias de itens, conforme o PDM da Amarante (seção 4.3, gargalo 5)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Unidade do CSC visitada neste acompanhamento</w:t>
      </w:r>
    </w:p>
    <w:p>
      <w:pPr>
        <w:pStyle w:val="Heading1"/>
        <w:pBdr>
          <w:bottom w:val="single" w:color="C8860D" w:sz="10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8860D"/>
          <w:sz w:val="26"/>
          <w:szCs w:val="26"/>
        </w:rPr>
        <w:t xml:space="preserve">8.  </w:t>
      </w:r>
      <w:r>
        <w:rPr>
          <w:rFonts w:ascii="Calibri" w:cs="Calibri" w:eastAsia="Calibri" w:hAnsi="Calibri"/>
          <w:b/>
          <w:bCs/>
          <w:color w:val="0B3F14"/>
          <w:sz w:val="26"/>
          <w:szCs w:val="26"/>
        </w:rPr>
        <w:t xml:space="preserve">REGISTRO DE HORAS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Lançamento a ser efetuado na planilha Controle de Horas Projeto Amarante.xlsx: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00"/>
        <w:gridCol w:w="2980"/>
        <w:gridCol w:w="1300"/>
        <w:gridCol w:w="1100"/>
        <w:gridCol w:w="700"/>
        <w:gridCol w:w="800"/>
        <w:gridCol w:w="1800"/>
      </w:tblGrid>
      <w:tr>
        <w:trPr>
          <w:tblHeader/>
        </w:trPr>
        <w:tc>
          <w:tcPr>
            <w:tcW w:type="dxa" w:w="140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98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130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Modalidade</w:t>
            </w:r>
          </w:p>
        </w:tc>
        <w:tc>
          <w:tcPr>
            <w:tcW w:type="dxa" w:w="110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Duração</w:t>
            </w:r>
          </w:p>
        </w:tc>
        <w:tc>
          <w:tcPr>
            <w:tcW w:type="dxa" w:w="70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Cadu</w:t>
            </w:r>
          </w:p>
        </w:tc>
        <w:tc>
          <w:tcPr>
            <w:tcW w:type="dxa" w:w="80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Sidney</w:t>
            </w:r>
          </w:p>
        </w:tc>
        <w:tc>
          <w:tcPr>
            <w:tcW w:type="dxa" w:w="1800"/>
            <w:shd w:fill="0B3F1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Horas-pessoa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18/08/2026</w:t>
            </w:r>
          </w:p>
        </w:tc>
        <w:tc>
          <w:tcPr>
            <w:tcW w:type="dxa" w:w="29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Acompanhamento em campo — operação Administrativo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Presencial</w:t>
            </w:r>
          </w:p>
        </w:tc>
        <w:tc>
          <w:tcPr>
            <w:tcW w:type="dxa" w:w="11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3h30</w:t>
            </w:r>
          </w:p>
        </w:tc>
        <w:tc>
          <w:tcPr>
            <w:tcW w:type="dxa" w:w="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Sim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Não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3,5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9"/>
          <w:szCs w:val="19"/>
        </w:rPr>
        <w:t xml:space="preserve">O Sidney não participou deste acompanhamento. O total de 3,5 horas-pessoa corresponde exclusivamente à minha presença, das 09h00 às 12h30.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Portal de Cadastro e Solicitações  ·  </w:t>
    </w:r>
    <w:r>
      <w:rPr>
        <w:rFonts w:ascii="Calibri" w:cs="Calibri" w:eastAsia="Calibri" w:hAnsi="Calibri"/>
        <w:b/>
        <w:bCs/>
        <w:color w:val="0B3F1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1"/>
    </w:pPr>
    <w:r>
      <w:drawing>
        <wp:anchor distT="0" distB="0" distL="0" distR="0" simplePos="0" allowOverlap="1" behindDoc="1" locked="0" layoutInCell="1" relativeHeight="-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Bdr>
        <w:bottom w:val="single" w:color="C8860D" w:sz="8" w:space="4"/>
      </w:pBdr>
      <w:spacing w:after="60"/>
      <w:jc w:val="right"/>
    </w:pPr>
    <w:r>
      <w:drawing>
        <wp:inline distT="0" distB="0" distL="0" distR="0">
          <wp:extent cx="133350" cy="133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0B3F14"/>
        <w:sz w:val="16"/>
        <w:szCs w:val="16"/>
      </w:rPr>
      <w:t xml:space="preserve">  AMARANTE × PROTTUS</w:t>
    </w:r>
    <w:r>
      <w:rPr>
        <w:rFonts w:ascii="Calibri" w:cs="Calibri" w:eastAsia="Calibri" w:hAnsi="Calibri"/>
        <w:color w:val="BFBFBF"/>
        <w:sz w:val="16"/>
        <w:szCs w:val="16"/>
      </w:rPr>
      <w:t xml:space="preserve">   |   </w:t>
    </w:r>
    <w:r>
      <w:rPr>
        <w:rFonts w:ascii="Calibri" w:cs="Calibri" w:eastAsia="Calibri" w:hAnsi="Calibri"/>
        <w:color w:val="5A5A5A"/>
        <w:sz w:val="16"/>
        <w:szCs w:val="16"/>
      </w:rPr>
      <w:t xml:space="preserve">Ata de Acompanhamento em Campo — 18/08/2026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C8860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78c6a7a8d4a7af488ef3b560d882ae490d21c58.png"/><Relationship Id="rId12" Type="http://schemas.openxmlformats.org/officeDocument/2006/relationships/image" Target="media/cd48c1908bdc1fbd4e2b5d1553afae3ab93f18d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87db878d43b1bbad335925abe5413e56968465c.png"/><Relationship Id="rId1" Type="http://schemas.openxmlformats.org/officeDocument/2006/relationships/image" Target="media/a35c7272ccc543c305a31c9770dcebb64ca186e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2026-08-19T19:00:43.489Z</dcterms:created>
  <dcterms:modified xsi:type="dcterms:W3CDTF">2026-08-19T19:00:43.490Z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