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0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853"/>
        <w:gridCol w:w="4853"/>
        <w:tblGridChange w:id="0">
          <w:tblGrid>
            <w:gridCol w:w="4853"/>
            <w:gridCol w:w="485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952500" cy="952500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952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952500" cy="952500"/>
                  <wp:effectExtent b="0" l="0" r="0" t="0"/>
                  <wp:docPr id="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952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60" w:before="5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3f14"/>
          <w:sz w:val="44"/>
          <w:szCs w:val="44"/>
          <w:rtl w:val="0"/>
        </w:rPr>
        <w:t xml:space="preserve">RELATÓRIO DE REUNIÃO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8860d"/>
          <w:sz w:val="26"/>
          <w:szCs w:val="26"/>
          <w:rtl w:val="0"/>
        </w:rPr>
        <w:t xml:space="preserve">Kick Off do Projeto — Portal de Cadastro e Solicitações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b5b5b"/>
          <w:sz w:val="22"/>
          <w:szCs w:val="22"/>
          <w:rtl w:val="0"/>
        </w:rPr>
        <w:t xml:space="preserve">Amarante (CSC) × Prottus Inteligência e Tecnologia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333333"/>
          <w:sz w:val="20"/>
          <w:szCs w:val="20"/>
          <w:rtl w:val="0"/>
        </w:rPr>
        <w:t xml:space="preserve">Data: 30 de julho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333333"/>
          <w:sz w:val="20"/>
          <w:szCs w:val="20"/>
          <w:rtl w:val="0"/>
        </w:rPr>
        <w:t xml:space="preserve">Modalidade: Presencial — Sede/CSC Amarante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333333"/>
          <w:sz w:val="20"/>
          <w:szCs w:val="20"/>
          <w:rtl w:val="0"/>
        </w:rPr>
        <w:t xml:space="preserve">Responsável Prottus (PO do projeto): Carlos Eduardo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5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8c8c8c"/>
          <w:sz w:val="17"/>
          <w:szCs w:val="17"/>
          <w:rtl w:val="0"/>
        </w:rPr>
        <w:t xml:space="preserve">Documento confidencial — uso interno Amarante e Prottus Inteligência e Tecnologia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pBdr>
          <w:bottom w:color="d9d9d9" w:space="4" w:sz="6" w:val="single"/>
        </w:pBdr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3f14"/>
          <w:sz w:val="30"/>
          <w:szCs w:val="30"/>
          <w:rtl w:val="0"/>
        </w:rPr>
        <w:t xml:space="preserve">Sumário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3f14"/>
          <w:sz w:val="21"/>
          <w:szCs w:val="21"/>
          <w:rtl w:val="0"/>
        </w:rPr>
        <w:t xml:space="preserve">1. Objetivo da Reunião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3f14"/>
          <w:sz w:val="21"/>
          <w:szCs w:val="21"/>
          <w:rtl w:val="0"/>
        </w:rPr>
        <w:t xml:space="preserve">2. Participantes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3f14"/>
          <w:sz w:val="21"/>
          <w:szCs w:val="21"/>
          <w:rtl w:val="0"/>
        </w:rPr>
        <w:t xml:space="preserve">3. Escopo Geral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3f14"/>
          <w:sz w:val="21"/>
          <w:szCs w:val="21"/>
          <w:rtl w:val="0"/>
        </w:rPr>
        <w:t xml:space="preserve">4. Diagnóstico — Cadastro de Itens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3f14"/>
          <w:sz w:val="21"/>
          <w:szCs w:val="21"/>
          <w:rtl w:val="0"/>
        </w:rPr>
        <w:t xml:space="preserve">5. Fluxo Proposto — Cadastro de Item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3f14"/>
          <w:sz w:val="21"/>
          <w:szCs w:val="21"/>
          <w:rtl w:val="0"/>
        </w:rPr>
        <w:t xml:space="preserve">6. Fluxo Proposto — Cadastro de Fornecedor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3f14"/>
          <w:sz w:val="21"/>
          <w:szCs w:val="21"/>
          <w:rtl w:val="0"/>
        </w:rPr>
        <w:t xml:space="preserve">7. Requisitos e Observações Adicionais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3f14"/>
          <w:sz w:val="21"/>
          <w:szCs w:val="21"/>
          <w:rtl w:val="0"/>
        </w:rPr>
        <w:t xml:space="preserve">8. Prioridades Definidas em Reunião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3f14"/>
          <w:sz w:val="21"/>
          <w:szCs w:val="21"/>
          <w:rtl w:val="0"/>
        </w:rPr>
        <w:t xml:space="preserve">9. Ações Definidas e Responsáveis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3f14"/>
          <w:sz w:val="21"/>
          <w:szCs w:val="21"/>
          <w:rtl w:val="0"/>
        </w:rPr>
        <w:t xml:space="preserve">10. Cronograma Geral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3f14"/>
          <w:sz w:val="21"/>
          <w:szCs w:val="21"/>
          <w:rtl w:val="0"/>
        </w:rPr>
        <w:t xml:space="preserve">11. Pontos de Atenção para Validação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pBdr>
          <w:bottom w:color="d9d9d9" w:space="4" w:sz="6" w:val="single"/>
        </w:pBdr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3f14"/>
          <w:sz w:val="30"/>
          <w:szCs w:val="30"/>
          <w:rtl w:val="0"/>
        </w:rPr>
        <w:t xml:space="preserve">1. Objetivo da Reunião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Reunião de abertura (kick off) do projeto entre Prottus e Amarante, realizada presencialmente no CSC, com duração aproximada de 2 horas, com o objetivo de alinhar o escopo geral dos projetos a serem implementados, apresentar o diagnóstico dos principais gargalos operacionais atuais e validar, em conjunto com as áreas envolvidas, a proposta de novo fluxo para os processos de cadastro de itens e de fornecedores.</w:t>
      </w:r>
      <w:r w:rsidDel="00000000" w:rsidR="00000000" w:rsidRPr="00000000">
        <w:rPr>
          <w:rtl w:val="0"/>
        </w:rPr>
      </w:r>
    </w:p>
    <w:tbl>
      <w:tblPr>
        <w:tblStyle w:val="Table2"/>
        <w:tblW w:w="9706.0" w:type="dxa"/>
        <w:jc w:val="left"/>
        <w:tblBorders>
          <w:top w:color="c8860d" w:space="0" w:sz="4" w:val="single"/>
          <w:left w:color="c8860d" w:space="0" w:sz="24" w:val="single"/>
          <w:bottom w:color="c8860d" w:space="0" w:sz="4" w:val="single"/>
          <w:right w:color="c8860d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06"/>
        <w:tblGridChange w:id="0">
          <w:tblGrid>
            <w:gridCol w:w="9706"/>
          </w:tblGrid>
        </w:tblGridChange>
      </w:tblGrid>
      <w:tr>
        <w:trPr>
          <w:cantSplit w:val="0"/>
          <w:tblHeader w:val="0"/>
        </w:trPr>
        <w:tc>
          <w:tcPr>
            <w:shd w:fill="fff6e3" w:val="clear"/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01B">
            <w:pPr>
              <w:spacing w:after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8a5e00"/>
                <w:sz w:val="21"/>
                <w:szCs w:val="21"/>
                <w:rtl w:val="0"/>
              </w:rPr>
              <w:t xml:space="preserve">Nota metodológica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6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a3a3a"/>
                <w:sz w:val="20"/>
                <w:szCs w:val="20"/>
                <w:rtl w:val="0"/>
              </w:rPr>
              <w:t xml:space="preserve">Gravei a reunião e usei a transcrição automática (Gemini) como apoio para revisar e enriquecer este relatório, além das minhas anotações e dos materiais oficiais (PPT e PDF de fluxo).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6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a3a3a"/>
                <w:sz w:val="20"/>
                <w:szCs w:val="20"/>
                <w:rtl w:val="0"/>
              </w:rPr>
              <w:t xml:space="preserve">Transcrição automática por IA não é 100% confiável — comete erros de reconhecimento de fala e de nomes próprios. Pontos que identifiquei apenas ao rever a gravação, sem confirmação nos materiais oficiais ou nas minhas anotações originais, estão sinalizados como pendentes de validação ao longo deste relatório e consolidados na Seção 11.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6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a3a3a"/>
                <w:sz w:val="20"/>
                <w:szCs w:val="20"/>
                <w:rtl w:val="0"/>
              </w:rPr>
              <w:t xml:space="preserve">O controle de horas desta e das próximas reuniões do projeto está registrado em planilha à parte (Controle de Horas — Projeto Portal de Cadastro).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pStyle w:val="Heading1"/>
        <w:pBdr>
          <w:bottom w:color="d9d9d9" w:space="4" w:sz="6" w:val="single"/>
        </w:pBdr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3f14"/>
          <w:sz w:val="30"/>
          <w:szCs w:val="30"/>
          <w:rtl w:val="0"/>
        </w:rPr>
        <w:t xml:space="preserve">2. Participantes</w:t>
      </w:r>
      <w:r w:rsidDel="00000000" w:rsidR="00000000" w:rsidRPr="00000000">
        <w:rPr>
          <w:rtl w:val="0"/>
        </w:rPr>
      </w:r>
    </w:p>
    <w:tbl>
      <w:tblPr>
        <w:tblStyle w:val="Table3"/>
        <w:tblW w:w="9706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000"/>
      </w:tblPr>
      <w:tblGrid>
        <w:gridCol w:w="3106"/>
        <w:gridCol w:w="6600"/>
        <w:tblGridChange w:id="0">
          <w:tblGrid>
            <w:gridCol w:w="3106"/>
            <w:gridCol w:w="6600"/>
          </w:tblGrid>
        </w:tblGridChange>
      </w:tblGrid>
      <w:tr>
        <w:trPr>
          <w:cantSplit w:val="0"/>
          <w:tblHeader w:val="1"/>
        </w:trPr>
        <w:tc>
          <w:tcPr>
            <w:shd w:fill="0b3f1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Empresa / 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f1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Prottus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Sidney (liderança do projeto na Prottus) e Carlos Eduardo (PO do projeto)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e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Amarante — CSC (confirmados)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e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Beatriz Staudinger e Danúbia Silva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Amarante — convidados do convite da reunião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Erika Fouchard, Amanda Cavalcante, Bruno Aguiar, Catarina Silva, Rafael Lima, Mariana Santos, Samuel Santos, Mateus Santana e Bianca Neves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b5b5b"/>
          <w:sz w:val="19"/>
          <w:szCs w:val="19"/>
          <w:rtl w:val="0"/>
        </w:rPr>
        <w:t xml:space="preserve">A segunda linha reflete a lista de convidados do convite de calendário da reunião — não é necessariamente a lista de quem esteve presente e participou ativamente, apenas quem foi convidado. Os nomes que consegui identificar claramente nas falas foram: Catarina Silva, Mariana Santos, Samuel Santos, Mateus Santana e Rafael Lima. Boa parte das falas da Amarante ficou registrada apenas como "alguém em Sala Milagres (Campus CSC, 1)" — reescutando a gravação não deu para identificar com certeza quem estava falando, provavelmente Beatriz e/ou Danúbia, mas sem confirmação.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pBdr>
          <w:bottom w:color="d9d9d9" w:space="4" w:sz="6" w:val="single"/>
        </w:pBdr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3f14"/>
          <w:sz w:val="30"/>
          <w:szCs w:val="30"/>
          <w:rtl w:val="0"/>
        </w:rPr>
        <w:t xml:space="preserve">3. Escopo Geral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Foram apresentados dois projetos distintos, com maturidade e prioridade diferentes: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spacing w:after="12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c7a44"/>
          <w:sz w:val="24"/>
          <w:szCs w:val="24"/>
          <w:rtl w:val="0"/>
        </w:rPr>
        <w:t xml:space="preserve">3.1. Portal de Cadastro e Solicitações — Insumos e Fornecedores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Projeto prioritário. Sistema para controle de estoque, solicitações de insumos, cadastro e edição de fornecedores, com controles segmentados por hotel/unidade. É o foco desta primeira fase do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spacing w:after="12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c7a44"/>
          <w:sz w:val="24"/>
          <w:szCs w:val="24"/>
          <w:rtl w:val="0"/>
        </w:rPr>
        <w:t xml:space="preserve">3.2. Portal de Fornecedores/Notas Fiscais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Sistema já existente, construído por outra empresa, que não atende completamente às necessidades da operação. O objetivo é dar controle total sobre fornecedores e notas fiscais associadas — situação de pagamento, direcionamento ao centro de custo correto e integração com as notas já coletadas no V360.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O principal problema relatado hoje neste front é a associação da nota fiscal ao centro de custo correto. Foi destacado como ponto crítico de integração que este portal converse com o Portal de Cadastro, para reaproveitar informações já validadas e evitar retrabalho.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Revendo a gravação da reunião, percebi um detalhe de escopo relevante que não estava nas minhas anotações originais: o foco inicial deste portal seria apenas fornecedores de SERVIÇO — o problema relatado é que o V360 captura notas fiscais de serviço sem centro de custo ou dados de contrato, travando o fluxo de aprovação e os pagamentos. Fornecedores de mercadoria e o acompanhamento de ordens de compra (follow-up) ficariam para uma V2, junto com o item de follow-up já registrado na Seção 8.</w:t>
      </w:r>
      <w:r w:rsidDel="00000000" w:rsidR="00000000" w:rsidRPr="00000000">
        <w:rPr>
          <w:rtl w:val="0"/>
        </w:rPr>
      </w:r>
    </w:p>
    <w:tbl>
      <w:tblPr>
        <w:tblStyle w:val="Table4"/>
        <w:tblW w:w="9706.0" w:type="dxa"/>
        <w:jc w:val="left"/>
        <w:tblBorders>
          <w:top w:color="c8860d" w:space="0" w:sz="4" w:val="single"/>
          <w:left w:color="c8860d" w:space="0" w:sz="24" w:val="single"/>
          <w:bottom w:color="c8860d" w:space="0" w:sz="4" w:val="single"/>
          <w:right w:color="c8860d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06"/>
        <w:tblGridChange w:id="0">
          <w:tblGrid>
            <w:gridCol w:w="9706"/>
          </w:tblGrid>
        </w:tblGridChange>
      </w:tblGrid>
      <w:tr>
        <w:trPr>
          <w:cantSplit w:val="0"/>
          <w:tblHeader w:val="0"/>
        </w:trPr>
        <w:tc>
          <w:tcPr>
            <w:shd w:fill="fff6e3" w:val="clear"/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031">
            <w:pPr>
              <w:spacing w:after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8a5e00"/>
                <w:sz w:val="21"/>
                <w:szCs w:val="21"/>
                <w:rtl w:val="0"/>
              </w:rPr>
              <w:t xml:space="preserve">Ponto de atenção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6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a3a3a"/>
                <w:sz w:val="20"/>
                <w:szCs w:val="20"/>
                <w:rtl w:val="0"/>
              </w:rPr>
              <w:t xml:space="preserve">O Portal de Fornecedores/Notas Fiscais ainda não tem fluxo desenhado no material oficial — hoje registramos apenas o problema central (associação nota fiscal × centro de custo). Confirmei reescutando a gravação que o recorte "serviços na V1, mercadorias na V2" foi mesmo dito na reunião, mas ele não está no PPT nem no PDF oficiais; ainda preciso alinhar isso formalmente com a Amarante antes de tratá-lo como escopo fechado.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pStyle w:val="Heading1"/>
        <w:pBdr>
          <w:bottom w:color="d9d9d9" w:space="4" w:sz="6" w:val="single"/>
        </w:pBdr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3f14"/>
          <w:sz w:val="30"/>
          <w:szCs w:val="30"/>
          <w:rtl w:val="0"/>
        </w:rPr>
        <w:t xml:space="preserve">4. Diagnóstico — Cadastro de Itens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Gargalos apresentados pela Amarante e ações propostas, validadas em reunião:</w:t>
      </w:r>
      <w:r w:rsidDel="00000000" w:rsidR="00000000" w:rsidRPr="00000000">
        <w:rPr>
          <w:rtl w:val="0"/>
        </w:rPr>
      </w:r>
    </w:p>
    <w:tbl>
      <w:tblPr>
        <w:tblStyle w:val="Table5"/>
        <w:tblW w:w="9706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000"/>
      </w:tblPr>
      <w:tblGrid>
        <w:gridCol w:w="582"/>
        <w:gridCol w:w="4562"/>
        <w:gridCol w:w="4562"/>
        <w:tblGridChange w:id="0">
          <w:tblGrid>
            <w:gridCol w:w="582"/>
            <w:gridCol w:w="4562"/>
            <w:gridCol w:w="4562"/>
          </w:tblGrid>
        </w:tblGridChange>
      </w:tblGrid>
      <w:tr>
        <w:trPr>
          <w:cantSplit w:val="0"/>
          <w:tblHeader w:val="1"/>
        </w:trPr>
        <w:tc>
          <w:tcPr>
            <w:shd w:fill="0b3f1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f1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Gargalo identificado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f1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Ação proposta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Cadastro de itens em duplicidade — inclusive com cadastros diferentes para o mesmo item entre hotéis.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Lista suspensa já na primeira tela do cadastro, sugerindo itens semelhantes já existentes na base.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e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e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Falta de atributos e finalidade do item (ex.: tipo de tecido de uma fronha), prejudicando descrição e classificação do NCM.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e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Campos de atributos obrigatórios, definidos automaticamente de acordo com a família do item e alinhados ao PDM.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Busca manual do NCM — processo lento e sujeito a erro.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Busca assistida por IA, sem eliminar a etapa de conferência pelo time Administrativo.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e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e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Solicitações incompletas retornam ao solicitante e ficam registradas como "questionário", virando pendência sem prazo definido.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e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Solicitação incompleta deixa de ser contabilizada como cadastro; o sistema expira e elimina automaticamente os registros não finalizados.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Um quinto gargalo foi levantado verbalmente durante a reunião, sem constar no PPT oficial (que lista apenas os 4 acima) — por isso não entrou na tabela de gargalos apresentados, mas está documentado aqui por ter sido efetivamente discutido e validado ao vivo:</w:t>
      </w:r>
      <w:r w:rsidDel="00000000" w:rsidR="00000000" w:rsidRPr="00000000">
        <w:rPr>
          <w:rtl w:val="0"/>
        </w:rPr>
      </w:r>
    </w:p>
    <w:tbl>
      <w:tblPr>
        <w:tblStyle w:val="Table6"/>
        <w:tblW w:w="9706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000"/>
      </w:tblPr>
      <w:tblGrid>
        <w:gridCol w:w="582"/>
        <w:gridCol w:w="4562"/>
        <w:gridCol w:w="4562"/>
        <w:tblGridChange w:id="0">
          <w:tblGrid>
            <w:gridCol w:w="582"/>
            <w:gridCol w:w="4562"/>
            <w:gridCol w:w="4562"/>
          </w:tblGrid>
        </w:tblGridChange>
      </w:tblGrid>
      <w:tr>
        <w:trPr>
          <w:cantSplit w:val="0"/>
          <w:tblHeader w:val="1"/>
        </w:trPr>
        <w:tc>
          <w:tcPr>
            <w:shd w:fill="0b3f1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f1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Gargalo identificado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f1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Ação proposta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Cadastro de múltiplos itens em uma única solicitação — hoje é preciso abrir um formulário por item, fragmentando o trabalho do solicitante.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Permitir cadastro em lote dentro de uma mesma solicitação, evitando a fragmentação excessiva.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706.0" w:type="dxa"/>
        <w:jc w:val="left"/>
        <w:tblBorders>
          <w:top w:color="c8860d" w:space="0" w:sz="4" w:val="single"/>
          <w:left w:color="c8860d" w:space="0" w:sz="24" w:val="single"/>
          <w:bottom w:color="c8860d" w:space="0" w:sz="4" w:val="single"/>
          <w:right w:color="c8860d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06"/>
        <w:tblGridChange w:id="0">
          <w:tblGrid>
            <w:gridCol w:w="9706"/>
          </w:tblGrid>
        </w:tblGridChange>
      </w:tblGrid>
      <w:tr>
        <w:trPr>
          <w:cantSplit w:val="0"/>
          <w:tblHeader w:val="0"/>
        </w:trPr>
        <w:tc>
          <w:tcPr>
            <w:shd w:fill="fff6e3" w:val="clear"/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04C">
            <w:pPr>
              <w:spacing w:after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8a5e00"/>
                <w:sz w:val="21"/>
                <w:szCs w:val="21"/>
                <w:rtl w:val="0"/>
              </w:rPr>
              <w:t xml:space="preserve">Detalhe a validar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6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a3a3a"/>
                <w:sz w:val="20"/>
                <w:szCs w:val="20"/>
                <w:rtl w:val="0"/>
              </w:rPr>
              <w:t xml:space="preserve">Reparando bem, percebi uma divergência entre a minha anotação original e o que ouvi na gravação sobre o alcance dessa melhoria: nas minhas anotações, o cadastro em lote valeria até para itens de famílias diferentes (ex.: material de limpeza e roupas na mesma solicitação); já na gravação ficou registrado que o lote seria restrito a itens da MESMA família.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6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a3a3a"/>
                <w:sz w:val="20"/>
                <w:szCs w:val="20"/>
                <w:rtl w:val="0"/>
              </w:rPr>
              <w:t xml:space="preserve">Nenhuma das duas é o material oficial (PPT/PDF) — é o meu registro pessoal de um lado e o que ouvi na reunião do outro, então qualquer um dos dois pode estar impreciso. Preciso confirmar diretamente com a Amarante qual versão é a correta antes de fechar esse requisito no desenho do MVP.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Durante a reunião também discutimos outros três pontos, ainda não documentados no material oficial, e que valem registro para o desenho da 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Segmentação por unidade: a Amarante mantém bases de itens separadas por unidade (ex.: Japaratinga, Maragogi, Maceió). O sistema precisa identificar a unidade do solicitante na busca, sem descartar uma futura unificação das bases — ponto de arquitetura relevante para o desenho do cadastro.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Clonagem de solicitações: possibilidade de "clonar" uma solicitação já existente para agilizar o preenchimento de itens semelhantes.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Estados de rascunho e finalizado: o sistema deveria distinguir solicitações em rascunho (ainda sendo preenchidas) de solicitações finalizadas, evitando que cadastros incompletos consumam tempo da equipe administrativa — isso complementa o gargalo 4 da tabela acima, com um mecanismo de controle mais claro do que apenas o cancelamento por SLA.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pBdr>
          <w:bottom w:color="d9d9d9" w:space="4" w:sz="6" w:val="single"/>
        </w:pBdr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3f14"/>
          <w:sz w:val="30"/>
          <w:szCs w:val="30"/>
          <w:rtl w:val="0"/>
        </w:rPr>
        <w:t xml:space="preserve">5. Fluxo Proposto — Cadastro de Item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Fluxo validado em reunião, consistente entre a apresentação, o documento de fluxo detalhado e minhas anotações. Etapas destacadas como melhoria em relação ao processo atual estão sinalizadas.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spacing w:after="12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c7a44"/>
          <w:sz w:val="24"/>
          <w:szCs w:val="24"/>
          <w:rtl w:val="0"/>
        </w:rPr>
        <w:t xml:space="preserve">Solicitante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Insere a descrição do item (pode ser apenas o primeiro nome do produto).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MELHORIA — Verifica duplicidade: o portal lista automaticamente os itens já cadastrados no ERP com aquela descrição, com seus respectivos códigos.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Seleciona a família do item.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MELHORIA — Preenche os atributos: os campos são liberados/travados de acordo com a família selecionada, alinhados à definição do PDM. Cada atributo exibe exemplos do PDM ao passar o mouse.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MELHORIA — Preenche descrição curta e longa, com exemplo no rodapé do campo (ex.: "AGUA MINERAL NAT C/GAS 300ML").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Preenche dados complementares: centro de custo e unidade de medida.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Preenche dados importantes: fonte do produto (nacional/estrangeira), flag de ativo fixo, link do produto (não obrigatório) e observação.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Finaliza e envia para aprovação.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0" w:lineRule="auto"/>
        <w:ind w:right="0"/>
        <w:jc w:val="left"/>
        <w:rPr>
          <w:rFonts w:ascii="Calibri" w:cs="Calibri" w:eastAsia="Calibri" w:hAnsi="Calibri"/>
          <w:color w:val="22222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spacing w:after="12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c7a44"/>
          <w:sz w:val="24"/>
          <w:szCs w:val="24"/>
          <w:rtl w:val="0"/>
        </w:rPr>
        <w:t xml:space="preserve">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MELHORIA — Classifica o NCM automaticamente, com preenchimento assistido por IA.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0" w:lineRule="auto"/>
        <w:ind w:right="0"/>
        <w:jc w:val="left"/>
        <w:rPr>
          <w:rFonts w:ascii="Calibri" w:cs="Calibri" w:eastAsia="Calibri" w:hAnsi="Calibri"/>
          <w:color w:val="22222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spacing w:after="12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c7a44"/>
          <w:sz w:val="24"/>
          <w:szCs w:val="24"/>
          <w:rtl w:val="0"/>
        </w:rPr>
        <w:t xml:space="preserve">Time Administrativo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Confere os dados preenchidos pelo solicitante e ajusta a descrição curta/longa, se necessário.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Confere o NCM sugerido e ajusta, se necessário.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Finaliza o cadastro, com integração ao SAP.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before="12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b5b5b"/>
          <w:sz w:val="20"/>
          <w:szCs w:val="20"/>
          <w:rtl w:val="0"/>
        </w:rPr>
        <w:t xml:space="preserve">SLA — Time Administrativo: 1 dia útil para conferência e finalização.</w:t>
      </w:r>
      <w:r w:rsidDel="00000000" w:rsidR="00000000" w:rsidRPr="00000000">
        <w:rPr>
          <w:rtl w:val="0"/>
        </w:rPr>
      </w:r>
    </w:p>
    <w:tbl>
      <w:tblPr>
        <w:tblStyle w:val="Table8"/>
        <w:tblW w:w="9706.0" w:type="dxa"/>
        <w:jc w:val="left"/>
        <w:tblBorders>
          <w:top w:color="c8860d" w:space="0" w:sz="4" w:val="single"/>
          <w:left w:color="c8860d" w:space="0" w:sz="24" w:val="single"/>
          <w:bottom w:color="c8860d" w:space="0" w:sz="4" w:val="single"/>
          <w:right w:color="c8860d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06"/>
        <w:tblGridChange w:id="0">
          <w:tblGrid>
            <w:gridCol w:w="9706"/>
          </w:tblGrid>
        </w:tblGridChange>
      </w:tblGrid>
      <w:tr>
        <w:trPr>
          <w:cantSplit w:val="0"/>
          <w:tblHeader w:val="0"/>
        </w:trPr>
        <w:tc>
          <w:tcPr>
            <w:shd w:fill="fff6e3" w:val="clear"/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067">
            <w:pPr>
              <w:spacing w:after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8a5e00"/>
                <w:sz w:val="21"/>
                <w:szCs w:val="21"/>
                <w:rtl w:val="0"/>
              </w:rPr>
              <w:t xml:space="preserve">A confirmar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6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a3a3a"/>
                <w:sz w:val="20"/>
                <w:szCs w:val="20"/>
                <w:rtl w:val="0"/>
              </w:rPr>
              <w:t xml:space="preserve">Ouvi durante a reunião que a meta definitiva é 1 dia útil (como já consta no PDF oficial), mas que para a fase inicial do projeto seria adotada uma meta de 2 dias úteis, para acomodar particularidades de integração com o setor de ativo fixo no SAP.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pStyle w:val="Heading1"/>
        <w:pBdr>
          <w:bottom w:color="d9d9d9" w:space="4" w:sz="6" w:val="single"/>
        </w:pBdr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3f14"/>
          <w:sz w:val="30"/>
          <w:szCs w:val="30"/>
          <w:rtl w:val="0"/>
        </w:rPr>
        <w:t xml:space="preserve">6. Fluxo Proposto — Cadastro de Fornecedor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Prioridade posterior à entrega do fluxo de itens. O fluxo se divide em duas frentes: entrada/triagem e compliance/homologação.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spacing w:after="12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c7a44"/>
          <w:sz w:val="24"/>
          <w:szCs w:val="24"/>
          <w:rtl w:val="0"/>
        </w:rPr>
        <w:t xml:space="preserve">6.1. Entrada e Triagem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O solicitante interno seleciona o tipo de fornecedor logo na primeira tela, e cada tipo segue um caminho distinto:</w:t>
      </w:r>
      <w:r w:rsidDel="00000000" w:rsidR="00000000" w:rsidRPr="00000000">
        <w:rPr>
          <w:rtl w:val="0"/>
        </w:rPr>
      </w:r>
    </w:p>
    <w:tbl>
      <w:tblPr>
        <w:tblStyle w:val="Table9"/>
        <w:tblW w:w="9706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000"/>
      </w:tblPr>
      <w:tblGrid>
        <w:gridCol w:w="2135"/>
        <w:gridCol w:w="7571"/>
        <w:tblGridChange w:id="0">
          <w:tblGrid>
            <w:gridCol w:w="2135"/>
            <w:gridCol w:w="7571"/>
          </w:tblGrid>
        </w:tblGridChange>
      </w:tblGrid>
      <w:tr>
        <w:trPr>
          <w:cantSplit w:val="0"/>
          <w:tblHeader w:val="1"/>
        </w:trPr>
        <w:tc>
          <w:tcPr>
            <w:shd w:fill="0b3f1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Tipo de fornecedor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f1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Caminho de dados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CNPJ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Consulta automática via Sintegra/Receita Federal (RFB); segue para formulário externo ao fornecedor (financeiro, compliance e ética) e depois para análise de compliance.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e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CPF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e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Solicitante preenche os dados próprios (nome, e-mail, endereço); mesmo fluxo de formulário e compliance do CNPJ.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Órgão público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Consulta via RFB/Sintegra, sem envio de formulário ao fornecedor e sem passar por compliance — segue direto ao Administrativo.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e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Internacional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e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Solicitante preenche dados próprios (razão social, NIF, DUNS, endereço); sem formulário, mas passa por análise de compliance.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Em todos os fluxos, são exigidos campos complementares obrigatórios: resorts atendidos (MCZ, MGI, JPT, SALG ou MV4 Corporativo), valor do contrato, grupo de fornecimento (serviços ou mercadorias), além das flags de "urgente" e "marketplace" — esta última dispensa a obrigatoriedade de dados bancários/PIX.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spacing w:after="12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c7a44"/>
          <w:sz w:val="24"/>
          <w:szCs w:val="24"/>
          <w:rtl w:val="0"/>
        </w:rPr>
        <w:t xml:space="preserve">6.2. Compliance e Homologação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A equipe de Compliance analisa a solicitação (formulário preenchido, para CNPJ/CPF, ou direto para internacional) e decide entre três caminhos: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Aprovado — segue automaticamente para o Administrativo.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Questionado — retorna ao fornecedor/solicitante para correção, com justificativa registrada; após o retorno, Compliance analisa novamente.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Reprovado — depende de decisão da Diretoria: se autorizado, segue ao Administrativo; se negado, o cadastro é cancelado.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No Administrativo, ocorre a conferência final dos dados e a homologação do cadastro, encerrando o processo.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Durante a reunião também foi mencionado um quarto status, não mapeado no PDF: "aprovado com ressalvas", para casos em que o fornecedor inicia o serviço sem alguma documentação (ex.: NR de trabalho em altura) e se compromete a regularizar depois. Esse status seria registrado por um coordenador da área, que entendi ser chamado de Airon — nome que ainda preciso confirmar, porque nome próprio é fácil de errar só de ouvido.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spacing w:after="12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c7a44"/>
          <w:sz w:val="24"/>
          <w:szCs w:val="24"/>
          <w:rtl w:val="0"/>
        </w:rPr>
        <w:t xml:space="preserve">SLAs e Cancelamento Automático</w:t>
      </w:r>
      <w:r w:rsidDel="00000000" w:rsidR="00000000" w:rsidRPr="00000000">
        <w:rPr>
          <w:rtl w:val="0"/>
        </w:rPr>
      </w:r>
    </w:p>
    <w:tbl>
      <w:tblPr>
        <w:tblStyle w:val="Table10"/>
        <w:tblW w:w="9706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000"/>
      </w:tblPr>
      <w:tblGrid>
        <w:gridCol w:w="2912"/>
        <w:gridCol w:w="6794"/>
        <w:tblGridChange w:id="0">
          <w:tblGrid>
            <w:gridCol w:w="2912"/>
            <w:gridCol w:w="6794"/>
          </w:tblGrid>
        </w:tblGridChange>
      </w:tblGrid>
      <w:tr>
        <w:trPr>
          <w:cantSplit w:val="0"/>
          <w:tblHeader w:val="1"/>
        </w:trPr>
        <w:tc>
          <w:tcPr>
            <w:shd w:fill="0b3f1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f1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Prazo / Regra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Fornecedor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 dias úteis — após o prazo, cancelamento automático da solicitação.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e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e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 dias úteis — após o prazo, cancelamento automático da solicitação.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Administrativo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1 dia útil.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706.0" w:type="dxa"/>
        <w:jc w:val="left"/>
        <w:tblBorders>
          <w:top w:color="c8860d" w:space="0" w:sz="4" w:val="single"/>
          <w:left w:color="c8860d" w:space="0" w:sz="24" w:val="single"/>
          <w:bottom w:color="c8860d" w:space="0" w:sz="4" w:val="single"/>
          <w:right w:color="c8860d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06"/>
        <w:tblGridChange w:id="0">
          <w:tblGrid>
            <w:gridCol w:w="9706"/>
          </w:tblGrid>
        </w:tblGridChange>
      </w:tblGrid>
      <w:tr>
        <w:trPr>
          <w:cantSplit w:val="0"/>
          <w:tblHeader w:val="0"/>
        </w:trPr>
        <w:tc>
          <w:tcPr>
            <w:shd w:fill="fff6e3" w:val="clear"/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089">
            <w:pPr>
              <w:spacing w:after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8a5e00"/>
                <w:sz w:val="21"/>
                <w:szCs w:val="21"/>
                <w:rtl w:val="0"/>
              </w:rPr>
              <w:t xml:space="preserve">Nota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6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a3a3a"/>
                <w:sz w:val="20"/>
                <w:szCs w:val="20"/>
                <w:rtl w:val="0"/>
              </w:rPr>
              <w:t xml:space="preserve">Na gravação ouvi menção a um "SLA de seis dias úteis" para o processo completo de cadastro de fornecedores. Isso não bate com os prazos que constam no PDF oficial de fluxo, que é a fonte confiável aqui (5 dias úteis para o fornecedor + 5 dias úteis para compliance + 1 dia útil para o administrativo). Mantive os números do PDF na tabela acima e descartei o "seis dias" que ouvi na reunião — deve ter sido um lapso na hora de falar ou algo que entendi errado.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pStyle w:val="Heading1"/>
        <w:pBdr>
          <w:bottom w:color="d9d9d9" w:space="4" w:sz="6" w:val="single"/>
        </w:pBdr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3f14"/>
          <w:sz w:val="30"/>
          <w:szCs w:val="30"/>
          <w:rtl w:val="0"/>
        </w:rPr>
        <w:t xml:space="preserve">7. Requisitos e Observações Adicionais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Pontos levantados ao longo da conversa, complementares ao fluxo apresentado, e que devem ser considerados no desenho da 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Calendário de dias úteis: precisa ser criado e integrado ao sistema, para permitir contagem correta de SLA e eventuais limitações com base na data do cadastro.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UI: interface bem desenvolvida, com sinalização visual clara de notificações, pendências e prioridade para todas as partes envolvidas.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Log de operações: registro completo de cada ação do novo portal — solicitação, tempo até resposta, feedback e status — para uso posterior em gestão e auditoria.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Encerramento automático de processos sem resposta após tempo X — as métricas de prazo ainda estão em avaliação pela Amarante, não definidas.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Compliance: necessidade de formulário mais completo e estruturado, com métricas de cadastro para garantir que o fornecedor seja homologado corretamente.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Particularidades de fornecedores: casos em que o fornecedor segue sem alguma documentação, mas com ressalvas registradas (ex.: exigência de especialista para determinado serviço) — essas condições precisam ficar visíveis para todas as partes envolvidas.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Follow-up de solicitações internas de outros setores: item relacionado ao projeto, mas com entrega prevista apenas para a V2 — fora do escopo desta primeira fase.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SLA configurável por fases (discutido na reunião): uma versão inicial mais simples, focada apenas em apontamento de tempo, e uma versão posterior com histórico completo e telas de configuração dos próprios prazos.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Notificações multicanal (discutido na reunião): alertas automáticos de prazo por e-mail, WhatsApp ou SMS para o fornecedor, antes do cancelamento automático da solicitação.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Relatório centralizado de status (discutido na reunião): painel único mostrando onde cada solicitação está parada — com compliance, com o solicitante ou com o fornecedor — reforça o item de Dashboard já previsto nas próximas etapas.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Homologação contínua de fornecedores (discutido na reunião): lista de fornecedores já homologados por tipo de serviço, para reduzir a necessidade de recadastro completo a cada nova contratação do mesmo fornecedor.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pBdr>
          <w:bottom w:color="d9d9d9" w:space="4" w:sz="6" w:val="single"/>
        </w:pBdr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3f14"/>
          <w:sz w:val="30"/>
          <w:szCs w:val="30"/>
          <w:rtl w:val="0"/>
        </w:rPr>
        <w:t xml:space="preserve">8. Prioridades Definidas em Reunião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Cadastro de Itens — prioridade máxima, início imediato.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Cadastro de Fornecedores de serviço — após entregas da frente de itens; fornecedores de mercadoria ficam para a V2 (recorte que ouvi na reunião — ver Seção 3.2, ainda preciso confirmar formalmente com a Amarante).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Controle de follow-up de pedidos e solicitações — previsto para a V2.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pBdr>
          <w:bottom w:color="d9d9d9" w:space="4" w:sz="6" w:val="single"/>
        </w:pBdr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3f14"/>
          <w:sz w:val="30"/>
          <w:szCs w:val="30"/>
          <w:rtl w:val="0"/>
        </w:rPr>
        <w:t xml:space="preserve">9. Ações Definidas e Responsáveis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Lista de próximos passos com responsável, que anotei durante a reunião:</w:t>
      </w:r>
      <w:r w:rsidDel="00000000" w:rsidR="00000000" w:rsidRPr="00000000">
        <w:rPr>
          <w:rtl w:val="0"/>
        </w:rPr>
      </w:r>
    </w:p>
    <w:tbl>
      <w:tblPr>
        <w:tblStyle w:val="Table12"/>
        <w:tblW w:w="9706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000"/>
      </w:tblPr>
      <w:tblGrid>
        <w:gridCol w:w="6794"/>
        <w:gridCol w:w="2912"/>
        <w:tblGridChange w:id="0">
          <w:tblGrid>
            <w:gridCol w:w="6794"/>
            <w:gridCol w:w="2912"/>
          </w:tblGrid>
        </w:tblGridChange>
      </w:tblGrid>
      <w:tr>
        <w:trPr>
          <w:cantSplit w:val="0"/>
          <w:tblHeader w:val="1"/>
        </w:trPr>
        <w:tc>
          <w:tcPr>
            <w:shd w:fill="0b3f1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f1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Definir padrão de utensílios do CSC, eliminando variações desnecessárias no cadastro.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Grupo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e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Desenvolver o Portal de Cadastro (itens e fornecedores), com busca, clonagem e fluxo automático.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e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Grupo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Estabelecer indicadores de SLA por etapa do processo.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Grupo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e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Criar dashboard visual de solicitações pendentes, prazos e responsáveis.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e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Grupo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Criar calendário de dias úteis e feriados para o cálculo correto do SLA.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Grupo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e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Apresentar soluções de mercado para acompanhamento de pedidos e recebimento de fornecedores.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e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Samuel Santos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Definir regras e métricas de cálculo do SLA de cadastro.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Grupo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e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Investigar viabilidade técnica de inserção de itens via API.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e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Mateus Santana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Enviar documento com as regras completas do processo para Carlos Eduardo.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Amarante (não consegui identificar exatamente quem falou)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e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Gravar vídeos demonstrando o processo atual de cadastro, solicitação e aprovação.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e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Amarante (não consegui identificar exatamente quem falou)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Agendar visitas presenciais para acompanhamento do fluxo diário, a partir da 3ª semana de agosto.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Rafael Lima e Mateus Santana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e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Definir cronograma com datas de entrega, após alinhamento completo das especificações.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e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Grupo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pStyle w:val="Heading1"/>
        <w:pBdr>
          <w:bottom w:color="d9d9d9" w:space="4" w:sz="6" w:val="single"/>
        </w:pBdr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3f14"/>
          <w:sz w:val="30"/>
          <w:szCs w:val="30"/>
          <w:rtl w:val="0"/>
        </w:rPr>
        <w:t xml:space="preserve">10. Cronograma Geral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Cronograma de alto nível, com duração total estimada de 16 semanas a partir do kick off (30/07/2026) — o que projeta a conclusão do projeto para meados de novembro de 2026, alinhado com o prazo de novembro/dezembro que discutimos na reunião:</w:t>
      </w:r>
      <w:r w:rsidDel="00000000" w:rsidR="00000000" w:rsidRPr="00000000">
        <w:rPr>
          <w:rtl w:val="0"/>
        </w:rPr>
      </w:r>
    </w:p>
    <w:tbl>
      <w:tblPr>
        <w:tblStyle w:val="Table13"/>
        <w:tblW w:w="9706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000"/>
      </w:tblPr>
      <w:tblGrid>
        <w:gridCol w:w="5338"/>
        <w:gridCol w:w="4368"/>
        <w:tblGridChange w:id="0">
          <w:tblGrid>
            <w:gridCol w:w="5338"/>
            <w:gridCol w:w="4368"/>
          </w:tblGrid>
        </w:tblGridChange>
      </w:tblGrid>
      <w:tr>
        <w:trPr>
          <w:cantSplit w:val="0"/>
          <w:tblHeader w:val="1"/>
        </w:trPr>
        <w:tc>
          <w:tcPr>
            <w:shd w:fill="0b3f1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Atividade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f1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Período (semanas)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Kickoff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Semana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e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Imersão no CSC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e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Semanas 1 a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Levantamento detalhado dos processos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Semanas 1 a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e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Desenho AS 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e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Semanas 1 a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Desenho TO 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Semanas 2 a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e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Matriz de Priorização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e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Semana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Desenvolvimento das iniciativas prioritárias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Semanas 3 a 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e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Descoberta de novas oportunidades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e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Semanas 3 a 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Homologações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Semanas 4 a 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e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Implantações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e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Semanas 4 a 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Acompanhamento de indicadores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Semanas 5 a 16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Ou seja: as três primeiras semanas são de descoberta e desenho (imersão, levantamento, AS IS/TO BE e priorização); a partir da semana 3-4, desenvolvimento, homologação, implantação e descoberta de novas oportunidades passam a rodar em paralelo até o fim do projeto, com acompanhamento de indicadores a partir da semana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pBdr>
          <w:bottom w:color="d9d9d9" w:space="4" w:sz="6" w:val="single"/>
        </w:pBdr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3f14"/>
          <w:sz w:val="30"/>
          <w:szCs w:val="30"/>
          <w:rtl w:val="0"/>
        </w:rPr>
        <w:t xml:space="preserve">11. Pontos de Atenção para Validação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Consolidação de todos os pontos que dependem de confirmação direta com a Amarante antes de virarem escopo fechado: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Confirmar com a Amarante o alcance do cadastro em lote de itens: famílias diferentes (minha anotação) ou mesma família (o que ouvi na reunião) — nenhuma das duas é o material oficial.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Levantar o fluxo atual e os requisitos completos do Portal de Fornecedores/Notas Fiscais, ainda sem desenho formal — inclusive o recorte "serviços na V1, mercadorias na V2" que ouvi na reunião, mas que não está nos documentos oficiais.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Confirmar a meta intermediária de 2 dias úteis para o cadastro de item na fase inicial do projeto (o que ouvi na reunião), frente à meta definitiva de 1 dia útil (PDF).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Confirmar nome e cargo do coordenador que entendi como "Airon", responsável pelo status "aprovado com ressalvas" de fornecedores.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Formalizar cronograma detalhado (datas, marcos e responsáveis) com base na priorização (Itens → Fornecedores de serviço → Fornecedores de mercadoria/Follow-up) e no cronograma de alto nível da Seção 10.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before="30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b5b5b"/>
          <w:sz w:val="18"/>
          <w:szCs w:val="18"/>
          <w:rtl w:val="0"/>
        </w:rPr>
        <w:t xml:space="preserve">Relatório elaborado por Carlos Eduardo (PO do projeto — Prottus) com base na apresentação da Amarante, no documento de fluxo detalhado, nas anotações feitas durante a reunião e na gravação da reunião, revisada criticamente.</w:t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8" w:w="11906" w:orient="portrait"/>
      <w:pgMar w:bottom="1000" w:top="1000" w:left="1100" w:right="110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D">
    <w:pPr>
      <w:pBdr>
        <w:top w:color="d9d9d9" w:space="4" w:sz="4" w:val="single"/>
      </w:pBdr>
      <w:jc w:val="center"/>
      <w:rPr/>
    </w:pPr>
    <w:r w:rsidDel="00000000" w:rsidR="00000000" w:rsidRPr="00000000">
      <w:rPr>
        <w:rFonts w:ascii="Calibri" w:cs="Calibri" w:eastAsia="Calibri" w:hAnsi="Calibri"/>
        <w:color w:val="8c8c8c"/>
        <w:sz w:val="16"/>
        <w:szCs w:val="16"/>
        <w:rtl w:val="0"/>
      </w:rPr>
      <w:t xml:space="preserve">Relatório de Reunião — Kick Off Amarante × Prottus — 30/07/2026   |   Página </w:t>
    </w:r>
    <w:r w:rsidDel="00000000" w:rsidR="00000000" w:rsidRPr="00000000">
      <w:rPr>
        <w:rFonts w:ascii="Calibri" w:cs="Calibri" w:eastAsia="Calibri" w:hAnsi="Calibri"/>
        <w:color w:val="8c8c8c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color w:val="8c8c8c"/>
        <w:sz w:val="16"/>
        <w:szCs w:val="16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color w:val="8c8c8c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E">
    <w:pPr>
      <w:pBdr>
        <w:top w:color="d9d9d9" w:space="4" w:sz="4" w:val="single"/>
      </w:pBdr>
      <w:jc w:val="center"/>
      <w:rPr/>
    </w:pPr>
    <w:r w:rsidDel="00000000" w:rsidR="00000000" w:rsidRPr="00000000">
      <w:rPr>
        <w:rFonts w:ascii="Calibri" w:cs="Calibri" w:eastAsia="Calibri" w:hAnsi="Calibri"/>
        <w:i w:val="1"/>
        <w:iCs w:val="1"/>
        <w:color w:val="8c8c8c"/>
        <w:sz w:val="16"/>
        <w:szCs w:val="16"/>
        <w:rtl w:val="0"/>
      </w:rPr>
      <w:t xml:space="preserve">Relatório de Reunião — Kick Off Amarante × Prottus — 30/07/2026   |   Documento confidencial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390900" cy="1238250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390900" cy="1238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inline distB="0" distT="0" distL="0" distR="0">
          <wp:extent cx="285750" cy="352425"/>
          <wp:effectExtent b="0" l="0" r="0" t="0"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85750" cy="3524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sz w:val="16"/>
        <w:szCs w:val="16"/>
        <w:rtl w:val="0"/>
      </w:rPr>
      <w:t xml:space="preserve">  </w:t>
    </w:r>
    <w:r w:rsidDel="00000000" w:rsidR="00000000" w:rsidRPr="00000000">
      <w:rPr/>
      <w:drawing>
        <wp:inline distB="0" distT="0" distL="0" distR="0">
          <wp:extent cx="381000" cy="381000"/>
          <wp:effectExtent b="0" l="0" r="0" t="0"/>
          <wp:docPr id="4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1000" cy="381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Calibri" w:cs="Calibri" w:eastAsia="Calibri" w:hAnsi="Calibri"/>
        <w:i w:val="1"/>
        <w:iCs w:val="1"/>
        <w:color w:val="8c8c8c"/>
        <w:sz w:val="16"/>
        <w:szCs w:val="16"/>
        <w:rtl w:val="0"/>
      </w:rPr>
      <w:t xml:space="preserve">   Amarante  ×  Prottus Inteligência e Tecnologia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2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42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42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Relationship Id="rId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