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UNISATC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Engenharia de Software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PREDIÇÃO DE VITÓRIA DE ROUND EM COUNTER-STRIKE: GLOBAL OFFENSIVE COM BASE EM ECONOMIA E ARMAMENTO: COMPARAÇÃO DE MODELOS DE MACHINE LEARNING CLÁSSICO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CRICIÚMA, SC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2026</w:t>
      </w:r>
    </w:p>
    <w:p>
      <w:r>
        <w:br w:type="page"/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Pedro Ernesto Santos Almeida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Carlos Eduardo Bez Fontana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Karine de Abraham Louis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PREDIÇÃO DE VITÓRIA DE ROUND EM COUNTER-STRIKE: GLOBAL OFFENSIVE COM BASE EM ECONOMIA E ARMAMENTO: COMPARAÇÃO DE MODELOS DE MACHINE LEARNING CLÁSSICO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240" w:lineRule="auto"/>
        <w:ind w:left="4536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Trabalho Final apresentado à disciplina Machine Learning do curso Engenharia de Software da UNISATC, como requisito parcial para avaliação.</w:t>
      </w:r>
    </w:p>
    <w:p>
      <w:pPr>
        <w:spacing w:before="120" w:after="0" w:line="240" w:lineRule="auto"/>
        <w:ind w:left="4536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Orientador: Prof. Rodrigo Ramos Silva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CRICIÚMA, SC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2026</w:t>
      </w:r>
    </w:p>
    <w:p>
      <w:r>
        <w:br w:type="page"/>
      </w:r>
    </w:p>
    <w:p>
      <w:pPr>
        <w:spacing w:before="0" w:after="240" w:line="360" w:lineRule="auto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SUMÁRIO</w:t>
      </w:r>
    </w:p>
    <w:p>
      <w:pPr>
        <w:tabs>
          <w:tab w:val="right" w:leader="dot" w:pos="9072"/>
        </w:tabs>
        <w:spacing w:before="0"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RESUMO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4</w:t>
      </w:r>
    </w:p>
    <w:p>
      <w:pPr>
        <w:tabs>
          <w:tab w:val="right" w:leader="dot" w:pos="9072"/>
        </w:tabs>
        <w:spacing w:before="0"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1  INTRODUÇÃO, PROBLEMA E JUSTIFICATIVA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5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1.1  Contextualização do problema real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5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1.2  Definição do problema de Machine Learning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6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1.3  Dataset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6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1.4  Justificativa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7</w:t>
      </w:r>
    </w:p>
    <w:p>
      <w:pPr>
        <w:tabs>
          <w:tab w:val="right" w:leader="dot" w:pos="9072"/>
        </w:tabs>
        <w:spacing w:before="0"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2  OBJETIVOS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8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2.1  Objetivo geral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8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2.2  Objetivos específicos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8</w:t>
      </w:r>
    </w:p>
    <w:p>
      <w:pPr>
        <w:tabs>
          <w:tab w:val="right" w:leader="dot" w:pos="9072"/>
        </w:tabs>
        <w:spacing w:before="0"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3  FUNDAMENTAÇÃO TEÓRICA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9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3.1  Conceitos do domínio (CS:GO)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9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3.2  Algoritmos de Machine Learning utilizados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10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3.3  Trabalhos relacionados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11</w:t>
      </w:r>
    </w:p>
    <w:p>
      <w:pPr>
        <w:tabs>
          <w:tab w:val="right" w:leader="dot" w:pos="9072"/>
        </w:tabs>
        <w:spacing w:before="0"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4  METODOLOGIA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12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4.1  Ambiente e ferramentas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12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4.2  Análise Exploratória de Dados (EDA)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12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4.3  Pré-processamento e Feature Engineering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14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4.4  Implementação, treinamento e otimização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15</w:t>
      </w:r>
    </w:p>
    <w:p>
      <w:pPr>
        <w:tabs>
          <w:tab w:val="right" w:leader="dot" w:pos="9072"/>
        </w:tabs>
        <w:spacing w:before="0"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5  RESULTADOS E ANÁLISE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16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5.1  Classificação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16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5.2  Regressão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18</w:t>
      </w:r>
    </w:p>
    <w:p>
      <w:pPr>
        <w:tabs>
          <w:tab w:val="right" w:leader="dot" w:pos="9072"/>
        </w:tabs>
        <w:spacing w:before="0" w:after="0" w:line="360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 xml:space="preserve">5.3  Análise crítica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19</w:t>
      </w:r>
    </w:p>
    <w:p>
      <w:pPr>
        <w:tabs>
          <w:tab w:val="right" w:leader="dot" w:pos="9072"/>
        </w:tabs>
        <w:spacing w:before="0"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6  CONCLUSÃO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20</w:t>
      </w:r>
    </w:p>
    <w:p>
      <w:pPr>
        <w:tabs>
          <w:tab w:val="right" w:leader="dot" w:pos="9072"/>
        </w:tabs>
        <w:spacing w:before="0"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7  REPRODUTIBILIDADE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21</w:t>
      </w:r>
    </w:p>
    <w:p>
      <w:pPr>
        <w:tabs>
          <w:tab w:val="right" w:leader="dot" w:pos="9072"/>
        </w:tabs>
        <w:spacing w:before="0"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REFERÊNCIAS</w:t>
      </w: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22</w:t>
      </w:r>
    </w:p>
    <w:p>
      <w:r>
        <w:br w:type="page"/>
      </w:r>
    </w:p>
    <w:p>
      <w:pPr>
        <w:spacing w:before="0" w:after="240" w:line="360" w:lineRule="auto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RESUMO</w:t>
      </w:r>
    </w:p>
    <w:p>
      <w:pPr>
        <w:spacing w:before="0" w:after="0"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Este trabalho investiga a predição do vencedor de rounds no jogo eletrônico Counter-Strike: Global Offensive (CS:GO) a partir de variáveis de economia, armamento e estado tático. O problema é formulado como classificação binária — vitória dos Counter-Terrorists (CT) ou dos Terrorists (T) — e, de forma complementar, como regressão da diferença econômica entre os times (money_diff). Utilizou-se o conjunto de dados público disponibilizado no Kaggle, composto por 122.410 snapshots e 97 atributos, derivado de aproximadamente 700 partidas profissionais. Após análise exploratória e pré-processamento com filtros anti-leakage e engenharia de atributos, foram treinados e comparados quatro classificadores clássicos — Regressão Logística, Máquinas de Vetores de Suporte (SVM), K-Vizinhos mais Próximos (KNN) e Random Forest — e dois regressores — Regressão Linear e Random Forest. Os modelos foram otimizados por meio de validação cruzada com busca em grade (GridSearchCV). O Random Forest apresentou o melhor desempenho, alcançando F1-Score de 0,903 e ROC-AUC de 0,970 na classificação, superando expressivamente a heurística econômica simples, que acerta apenas cerca de 60,5% dos casos. Conclui-se que economia e armamento, combinados a variáveis táticas, são preditores robustos do desfecho de rounds, ainda que não o determinem isoladamente. O pipeline completo é reproduzível no Google Colab.</w:t>
      </w:r>
    </w:p>
    <w:p>
      <w:pPr>
        <w:spacing w:before="240" w:after="0" w:line="360" w:lineRule="auto"/>
        <w:jc w:val="both"/>
        <w:sectPr>
          <w:pgSz w:w="11906" w:h="16838"/>
          <w:pgMar w:top="1701" w:right="1134" w:bottom="1134" w:left="1701" w:header="709" w:footer="709" w:gutter="0"/>
        </w:sectPr>
      </w:pPr>
      <w:r>
        <w:rPr>
          <w:rFonts w:ascii="Times New Roman" w:hAnsi="Times New Roman" w:cs="Times New Roman"/>
          <w:b/>
          <w:sz w:val="24"/>
          <w:szCs w:val="24"/>
        </w:rPr>
        <w:t xml:space="preserve">Palavras-chave:</w:t>
      </w:r>
      <w:r>
        <w:rPr>
          <w:rFonts w:ascii="Times New Roman" w:hAnsi="Times New Roman" w:cs="Times New Roman"/>
          <w:sz w:val="24"/>
          <w:szCs w:val="24"/>
        </w:rPr>
        <w:t xml:space="preserve"> Counter-Strike; Machine Learning; classificação; regressão; esports analytics.</w:t>
      </w:r>
    </w:p>
    <w:p>
      <w:pPr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1 INTRODUÇÃO, PROBLEMA E JUSTIFICATIVA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Os jogos eletrônicos competitivos, ou esports, consolidaram-se na última década como um setor econômico relevante e como objeto legítimo de investigação científica em ciência de dados. Nesse cenário, Counter-Strike: Global Offensive (CS:GO) é um dos títulos mais disputados do mundo, e a geração de grandes volumes de dados de telemetria a partir de partidas profissionais abriu espaço para a aplicação de técnicas de aprendizado de máquina à análise tática. Este trabalho situa-se nesse contexto e propõe modelar, de forma reprodutível, a probabilidade de vitória de um round a partir de variáveis observáveis no início da disputa.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1.1 Contextualização do problema real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Em CS:GO, duas equipes de cinco jogadores — Counter-Terrorists (CT) e Terrorists (T) — enfrentam-se em sucessivos rounds, cada um com duração de até 115 segundos. A economia virtual do jogo é determinante para o desempenho: o dinheiro acumulado por eliminações, vitórias de round e cumprimento de objetivos define o armamento disponível no round seguinte, incluindo rifles, o fuzil de precisão AWP, coletes de proteção e granadas utilitárias. A leitura correta da vantagem tática, portanto, depende da combinação simultânea de muitas variáveis.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Atualmente, essa leitura é, em grande medida, subjetiva, apoiada na experiência de jogadores e treinadores, ou baseada em regras simples como a de que "a equipe com mais dinheiro vence". Ferramentas consagradas, como o portal HLTV, descrevem o que ocorreu após o término do round, mas não oferecem um modelo reprodutível de probabilidade de vitória antes do desfecho.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As soluções não baseadas em aprendizado de máquina apresentam limitações claras. A heurística econômica — supor que a equipe mais rica vencerá — acerta apenas cerca de 60,5% dos casos no conjunto de dados utilizado neste estudo, percentual insuficiente para fundamentar decisões táticas confiáveis. Já a análise manual conduzida por treinadores não escala para o exame simultâneo de dezenas de variáveis, como o mapa em disputa, a composição de armamento, os utilitários disponíveis e o estado da bomba.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relevância do problema é reforçada pela dimensão econômica do setor: o mercado global de esports movimenta bilhões de dólares e demanda, de equipes profissionais e plataformas de transmissão, ferramentas de análise preditiva cada vez mais sofisticadas. O aprendizado de máquina mostra-se adequado a esse propósito porque integra dezenas de variáveis em um único modelo, captura relações não lineares entre elas e produz probabilidades calibradas, passíveis de avaliação por métricas como a área sob a curva ROC (ROC-AUC).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1.2 Definição do problema de Machine Learning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 problema foi estruturado em duas tarefas complementares de aprendizado supervisionado. A tarefa principal é uma classificação binária do vencedor do round; a complementar é uma regressão da diferença econômica entre as equipes, conforme sintetizado no Quadro 1.</w:t>
      </w:r>
    </w:p>
    <w:p>
      <w:pPr>
        <w:keepNext/>
        <w:spacing w:before="140" w:after="40" w:line="240" w:lineRule="auto"/>
        <w:jc w:val="center"/>
      </w:pPr>
      <w:r>
        <w:rPr>
          <w:rFonts w:ascii="Times New Roman" w:hAnsi="Times New Roman" w:cs="Times New Roman"/>
          <w:b/>
          <w:sz w:val="22"/>
          <w:szCs w:val="22"/>
        </w:rPr>
        <w:t xml:space="preserve">Quadro 1 — Definição das tarefas de Machine Learning</w:t>
      </w:r>
    </w:p>
    <w:tbl>
      <w:tblPr>
        <w:tblW w:w="5000" w:type="pct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Tarefa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Tipo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Variável alvo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Principal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Classificação binária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round_winner → CT ou T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Complementar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Regressão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money_diff = ct_money − t_money</w:t>
            </w:r>
          </w:p>
        </w:tc>
      </w:tr>
    </w:tbl>
    <w:p>
      <w:pPr>
        <w:spacing w:before="0" w:after="0" w:line="120" w:lineRule="auto"/>
      </w:pP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1.3 Dataset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 estudo utiliza um conjunto de dados público e amplamente conhecido na comunidade, derivado de partidas profissionais. Suas características essenciais são descritas no Quadro 2.</w:t>
      </w:r>
    </w:p>
    <w:p>
      <w:pPr>
        <w:keepNext/>
        <w:spacing w:before="140" w:after="40" w:line="240" w:lineRule="auto"/>
        <w:jc w:val="center"/>
      </w:pPr>
      <w:r>
        <w:rPr>
          <w:rFonts w:ascii="Times New Roman" w:hAnsi="Times New Roman" w:cs="Times New Roman"/>
          <w:b/>
          <w:sz w:val="22"/>
          <w:szCs w:val="22"/>
        </w:rPr>
        <w:t xml:space="preserve">Quadro 2 — Caracterização do conjunto de dados</w:t>
      </w:r>
    </w:p>
    <w:tbl>
      <w:tblPr>
        <w:tblW w:w="5000" w:type="pct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Nome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CS:GO Round Winner Classification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Fonte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Kaggle — kaggle.com/datasets/christianlillelund/csgo-round-winner-classification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Origem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Skybox AI Challenge (~700 demos profissionais, 2019–2020)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Dimensão bruta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122.410 linhas × 97 colunas, 0 valores nulos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Download no projeto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kagglehub no Google Colab</w:t>
            </w:r>
          </w:p>
        </w:tc>
      </w:tr>
    </w:tbl>
    <w:p>
      <w:pPr>
        <w:spacing w:before="0" w:after="0" w:line="120" w:lineRule="auto"/>
      </w:pP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Fonte: Adaptado de Lillelund (2020).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1.4 Justificativa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análise exploratória confirma a insuficiência das abordagens heurísticas: no conjunto de dados, a equipe com maior volume de dinheiro vence apenas cerca de 60,5% dos snapshots, evidenciando que a vantagem econômica, isoladamente, é um preditor fraco. Justifica-se, assim, o emprego de aprendizado de máquina, capaz de integrar dezenas de variáveis — mapa, armas, utilitários e estado da bomba — e de capturar relações não lineares entre elas. Adicionalmente, métricas probabilísticas como o ROC-AUC permitem avaliar a qualidade do ranqueamento das previsões independentemente de um limiar fixo de decisão, o que é particularmente útil para estimar a probabilidade de vitória em tempo real.</w:t>
      </w:r>
    </w:p>
    <w:p>
      <w:pPr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2 OBJETIVOS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2.1 Objetivo geral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Desenvolver e comparar modelos de Machine Learning Clássico para prever o vencedor de rounds em CS:GO utilizando informações de economia, armamento e estado tático, com base em um conjunto de dados público disponibilizado no Kaggle.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2.2 Objetivos específicos</w:t>
      </w:r>
    </w:p>
    <w:p>
      <w:pPr>
        <w:spacing w:before="0" w:after="0" w:line="360" w:lineRule="auto"/>
        <w:ind w:left="709" w:hanging="354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Estruturar e explorar o conjunto de dados obtido do Kaggle.</w:t>
      </w:r>
    </w:p>
    <w:p>
      <w:pPr>
        <w:spacing w:before="0" w:after="0" w:line="360" w:lineRule="auto"/>
        <w:ind w:left="709" w:hanging="354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Realizar Análise Exploratória de Dados (EDA), incluindo o balanceamento de classes, a análise econômica, a influência dos mapas e a detecção de vazamento de informação (data leakage).</w:t>
      </w:r>
    </w:p>
    <w:p>
      <w:pPr>
        <w:spacing w:before="0" w:after="0" w:line="360" w:lineRule="auto"/>
        <w:ind w:left="709" w:hanging="354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 xml:space="preserve">Implementar o pré-processamento com filtros anti-leakage e engenharia de atributos (feature engineering).</w:t>
      </w:r>
    </w:p>
    <w:p>
      <w:pPr>
        <w:spacing w:before="0" w:after="0" w:line="360" w:lineRule="auto"/>
        <w:ind w:left="709" w:hanging="354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 xml:space="preserve">Treinar e otimizar classificadores: Regressão Logística, Random Forest, SVM e KNN.</w:t>
      </w:r>
    </w:p>
    <w:p>
      <w:pPr>
        <w:spacing w:before="0" w:after="0" w:line="360" w:lineRule="auto"/>
        <w:ind w:left="709" w:hanging="354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4"/>
          <w:szCs w:val="24"/>
        </w:rPr>
        <w:t xml:space="preserve">Treinar regressores — Regressão Linear e Random Forest — para a variável money_diff.</w:t>
      </w:r>
    </w:p>
    <w:p>
      <w:pPr>
        <w:spacing w:before="0" w:after="0" w:line="360" w:lineRule="auto"/>
        <w:ind w:left="709" w:hanging="354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 xml:space="preserve">Comparar o desempenho dos modelos com métricas adequadas (Precision, Recall, F1-Score, Accuracy, ROC-AUC, MAE, RMSE e R²) e analisar a importância dos atributos (feature importance).</w:t>
      </w:r>
    </w:p>
    <w:p>
      <w:pPr>
        <w:spacing w:before="0" w:after="0" w:line="360" w:lineRule="auto"/>
        <w:ind w:left="709" w:hanging="354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 xml:space="preserve">Entregar um pipeline reproduzível no Google Colab, com documentação completa.</w:t>
      </w:r>
    </w:p>
    <w:p>
      <w:pPr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3 FUNDAMENTAÇÃO TEÓRICA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3.1 Conceitos do domínio (CS:GO)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compreensão do problema exige a definição de alguns conceitos do domínio. O </w:t>
      </w:r>
      <w:r>
        <w:rPr>
          <w:rFonts w:ascii="Times New Roman" w:hAnsi="Times New Roman" w:cs="Times New Roman"/>
          <w:i/>
          <w:sz w:val="24"/>
          <w:szCs w:val="24"/>
        </w:rPr>
        <w:t xml:space="preserve">round</w:t>
      </w:r>
      <w:r>
        <w:rPr>
          <w:rFonts w:ascii="Times New Roman" w:hAnsi="Times New Roman" w:cs="Times New Roman"/>
          <w:sz w:val="24"/>
          <w:szCs w:val="24"/>
        </w:rPr>
        <w:t xml:space="preserve"> é a unidade de disputa: vence a equipe que elimina todos os adversários, planta e detona a bomba (no caso dos T) ou a desarma (no caso dos CT), ou ainda quando o tempo expira em condições favoráveis. As decisões de compra organizam-se em categorias de investimento, ou </w:t>
      </w:r>
      <w:r>
        <w:rPr>
          <w:rFonts w:ascii="Times New Roman" w:hAnsi="Times New Roman" w:cs="Times New Roman"/>
          <w:i/>
          <w:sz w:val="24"/>
          <w:szCs w:val="24"/>
        </w:rPr>
        <w:t xml:space="preserve">buy tiers</w:t>
      </w:r>
      <w:r>
        <w:rPr>
          <w:rFonts w:ascii="Times New Roman" w:hAnsi="Times New Roman" w:cs="Times New Roman"/>
          <w:sz w:val="24"/>
          <w:szCs w:val="24"/>
        </w:rPr>
        <w:t xml:space="preserve">, que podem ser aproximadas pelo dinheiro disponível por jogador (ct_money ou t_money dividido por cinco): compra forçada (</w:t>
      </w:r>
      <w:r>
        <w:rPr>
          <w:rFonts w:ascii="Times New Roman" w:hAnsi="Times New Roman" w:cs="Times New Roman"/>
          <w:i/>
          <w:sz w:val="24"/>
          <w:szCs w:val="24"/>
        </w:rPr>
        <w:t xml:space="preserve">force</w:t>
      </w:r>
      <w:r>
        <w:rPr>
          <w:rFonts w:ascii="Times New Roman" w:hAnsi="Times New Roman" w:cs="Times New Roman"/>
          <w:sz w:val="24"/>
          <w:szCs w:val="24"/>
        </w:rPr>
        <w:t xml:space="preserve">, abaixo de US$ 1.700), economia (</w:t>
      </w:r>
      <w:r>
        <w:rPr>
          <w:rFonts w:ascii="Times New Roman" w:hAnsi="Times New Roman" w:cs="Times New Roman"/>
          <w:i/>
          <w:sz w:val="24"/>
          <w:szCs w:val="24"/>
        </w:rPr>
        <w:t xml:space="preserve">eco</w:t>
      </w:r>
      <w:r>
        <w:rPr>
          <w:rFonts w:ascii="Times New Roman" w:hAnsi="Times New Roman" w:cs="Times New Roman"/>
          <w:sz w:val="24"/>
          <w:szCs w:val="24"/>
        </w:rPr>
        <w:t xml:space="preserve">, abaixo de US$ 2.000), compra parcial (</w:t>
      </w:r>
      <w:r>
        <w:rPr>
          <w:rFonts w:ascii="Times New Roman" w:hAnsi="Times New Roman" w:cs="Times New Roman"/>
          <w:i/>
          <w:sz w:val="24"/>
          <w:szCs w:val="24"/>
        </w:rPr>
        <w:t xml:space="preserve">half</w:t>
      </w:r>
      <w:r>
        <w:rPr>
          <w:rFonts w:ascii="Times New Roman" w:hAnsi="Times New Roman" w:cs="Times New Roman"/>
          <w:sz w:val="24"/>
          <w:szCs w:val="24"/>
        </w:rPr>
        <w:t xml:space="preserve">, entre US$ 2.800 e US$ 3.799), compra completa (</w:t>
      </w:r>
      <w:r>
        <w:rPr>
          <w:rFonts w:ascii="Times New Roman" w:hAnsi="Times New Roman" w:cs="Times New Roman"/>
          <w:i/>
          <w:sz w:val="24"/>
          <w:szCs w:val="24"/>
        </w:rPr>
        <w:t xml:space="preserve">full</w:t>
      </w:r>
      <w:r>
        <w:rPr>
          <w:rFonts w:ascii="Times New Roman" w:hAnsi="Times New Roman" w:cs="Times New Roman"/>
          <w:sz w:val="24"/>
          <w:szCs w:val="24"/>
        </w:rPr>
        <w:t xml:space="preserve">, a partir de US$ 4.700) e situações mistas (</w:t>
      </w:r>
      <w:r>
        <w:rPr>
          <w:rFonts w:ascii="Times New Roman" w:hAnsi="Times New Roman" w:cs="Times New Roman"/>
          <w:i/>
          <w:sz w:val="24"/>
          <w:szCs w:val="24"/>
        </w:rPr>
        <w:t xml:space="preserve">mixed</w:t>
      </w:r>
      <w:r>
        <w:rPr>
          <w:rFonts w:ascii="Times New Roman" w:hAnsi="Times New Roman" w:cs="Times New Roman"/>
          <w:sz w:val="24"/>
          <w:szCs w:val="24"/>
        </w:rPr>
        <w:t xml:space="preserve">) nas transições. A AWP é um fuzil de precisão de alto impacto tático, capaz de eliminar adversários com um único disparo e de controlar ângulos estratégicos do mapa. Por fim, a </w:t>
      </w:r>
      <w:r>
        <w:rPr>
          <w:rFonts w:ascii="Times New Roman" w:hAnsi="Times New Roman" w:cs="Times New Roman"/>
          <w:i/>
          <w:sz w:val="24"/>
          <w:szCs w:val="24"/>
        </w:rPr>
        <w:t xml:space="preserve">win probability</w:t>
      </w:r>
      <w:r>
        <w:rPr>
          <w:rFonts w:ascii="Times New Roman" w:hAnsi="Times New Roman" w:cs="Times New Roman"/>
          <w:sz w:val="24"/>
          <w:szCs w:val="24"/>
        </w:rPr>
        <w:t xml:space="preserve"> é a estimativa da chance de vitória de uma equipe dado o estado atual do round — exatamente o objeto de modelagem deste trabalho.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3.2 Algoritmos de Machine Learning utilizados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Regressão Logística é um modelo linear que estima a probabilidade de pertencimento a uma classe por meio da função logística (sigmoide) aplicada a uma combinação linear dos atributos. Por sua simplicidade e interpretabilidade, foi adotada como </w:t>
      </w:r>
      <w:r>
        <w:rPr>
          <w:rFonts w:ascii="Times New Roman" w:hAnsi="Times New Roman" w:cs="Times New Roman"/>
          <w:i/>
          <w:sz w:val="24"/>
          <w:szCs w:val="24"/>
        </w:rPr>
        <w:t xml:space="preserve">baseline</w:t>
      </w:r>
      <w:r>
        <w:rPr>
          <w:rFonts w:ascii="Times New Roman" w:hAnsi="Times New Roman" w:cs="Times New Roman"/>
          <w:sz w:val="24"/>
          <w:szCs w:val="24"/>
        </w:rPr>
        <w:t xml:space="preserve"> de classificação. As Máquinas de Vetores de Suporte (SVM) buscam o hiperplano de separação que maximiza a margem entre as classes; com o uso do kernel de função de base radial (RBF), os dados são mapeados para um espaço de dimensão superior, permitindo a construção de fronteiras de decisão não lineares. O algoritmo dos K-Vizinhos mais Próximos (KNN) classifica cada instância pela maioria das classes de seus k vizinhos mais próximos no espaço de atributos, sendo sensível à escala das variáveis e exigindo, portanto, padronização prévia.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 Random Forest é um método de comitê (ensemble) que combina múltiplas árvores de decisão treinadas sobre amostras e subconjuntos de atributos distintos; a agregação de suas previsões reduz o sobreajuste (overfitting) e fornece, como subproduto, uma medida de importância dos atributos (feature importance). Aplica-se tanto à classificação quanto à regressão. Por fim, a Regressão Linear modela uma variável contínua como combinação linear dos atributos e serve de baseline para a tarefa de regressão da variável money_diff. O Quadro 3 resume essas escolhas.</w:t>
      </w:r>
    </w:p>
    <w:p>
      <w:pPr>
        <w:keepNext/>
        <w:spacing w:before="140" w:after="40" w:line="240" w:lineRule="auto"/>
        <w:jc w:val="center"/>
      </w:pPr>
      <w:r>
        <w:rPr>
          <w:rFonts w:ascii="Times New Roman" w:hAnsi="Times New Roman" w:cs="Times New Roman"/>
          <w:b/>
          <w:sz w:val="22"/>
          <w:szCs w:val="22"/>
        </w:rPr>
        <w:t xml:space="preserve">Quadro 3 — Algoritmos de Machine Learning utilizados</w:t>
      </w:r>
    </w:p>
    <w:tbl>
      <w:tblPr>
        <w:tblW w:w="5000" w:type="pct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Algoritmo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Tipo de problema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Característica principal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Regressão Logística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Classificação binária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Baseline interpretável; estima probabilidades via função logística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SVM (kernel RBF)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Classificação binária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Fronteira de decisão não linear; o kernel RBF mapeia os dados para espaço de maior dimensão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KNN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Classificação binária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Classifica pela maioria dos k vizinhos mais próximos no espaço de atributos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Random Forest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Classificação e regressão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Ensemble de árvores; reduz overfitting e fornece feature importance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Regressão Linear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Regressão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Baseline para a variável contínua money_diff</w:t>
            </w:r>
          </w:p>
        </w:tc>
      </w:tr>
    </w:tbl>
    <w:p>
      <w:pPr>
        <w:spacing w:before="0" w:after="0" w:line="120" w:lineRule="auto"/>
      </w:pP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3.3 Trabalhos relacionados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 problema de previsão de resultados em CS:GO já foi abordado por diferentes iniciativas acadêmicas e da comunidade, sintetizadas no Quadro 4. Tais trabalhos variam desde desafios de inteligência artificial sobre demos profissionais até aplicações em tempo real e abordagens com aprendizado profundo, oferecendo um panorama útil para posicionar a presente contribuição.</w:t>
      </w:r>
    </w:p>
    <w:p>
      <w:pPr>
        <w:keepNext/>
        <w:spacing w:before="140" w:after="40" w:line="240" w:lineRule="auto"/>
        <w:jc w:val="center"/>
      </w:pPr>
      <w:r>
        <w:rPr>
          <w:rFonts w:ascii="Times New Roman" w:hAnsi="Times New Roman" w:cs="Times New Roman"/>
          <w:b/>
          <w:sz w:val="22"/>
          <w:szCs w:val="22"/>
        </w:rPr>
        <w:t xml:space="preserve">Quadro 4 — Trabalhos relacionados</w:t>
      </w:r>
    </w:p>
    <w:tbl>
      <w:tblPr>
        <w:tblW w:w="5000" w:type="pct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Referência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Abordagem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Relação com este trabalho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Skybox CS:GO AI Challenge (2020)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Desafio de IA em demos profissionais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Origem dos dados (~700 partidas)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Lillelund — dataset Kaggle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Publicação do CSV 122k × 97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Dataset utilizado neste projeto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Hiemstra (2021)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Probabilidade de vitória com estatística Bayesiana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Mesmo problema; método diferente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Ghosh — GitHub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LR, LDA, Random Forest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Inspiração para baselines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CSGOPredictor (d-roho)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LR em tempo real via GSI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Aplicação prática em tempo real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thecml — csgo-ai-challenge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TensorFlow, CatBoost, ensembles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Mesmo dataset; abordagem com deep learning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Xenopoulos et al. (KDD, 2022)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Mineração de trajetórias em CS:GO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Contexto acadêmico em esports analytics</w:t>
            </w:r>
          </w:p>
        </w:tc>
      </w:tr>
    </w:tbl>
    <w:p>
      <w:pPr>
        <w:spacing w:before="0" w:after="0" w:line="120" w:lineRule="auto"/>
      </w:pP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contribuição deste trabalho consiste em um pipeline reproduzível no Google Colab que articula EDA com análise explícita de leakage, engenharia de atributos orientada ao domínio (buy tier e composição de armamento) e a comparação sistemática de quatro classificadores e dois regressores com métricas completas. O repositório do projeto está disponível em github.com/carloseduardob/projeto-machine-learning-csgo.</w:t>
      </w:r>
    </w:p>
    <w:p>
      <w:pPr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4 METODOLOGIA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4.1 Ambiente e ferramentas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 projeto foi integralmente executado no Google Colab, em ambiente de CPU, utilizando a linguagem Python (versão 3.10 ou superior). As principais bibliotecas empregadas foram scikit-learn 1.9.0 (modelagem e métricas), kagglehub 1.0.1 (obtenção dos dados) e seaborn 0.13.2 (visualização), além das bibliotecas pandas e numpy disponíveis no ambiente. O fluxo de trabalho foi organizado em uma sequência de notebooks — 00_Setup, 01_EDA, 02_Preprocessamento e 03_Modelagem — e consolidado no notebook COLAB_PROJETO-COMPLETO.ipynb, que pode ser executado integralmente pela opção "Runtime → Executar tudo".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4.2 Análise Exploratória de Dados (EDA)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análise exploratória teve por objetivo caracterizar o conjunto de dados e identificar riscos metodológicos antes da modelagem. Verificou-se que as classes estão equilibradas, com aproximadamente 51% de vitórias dos T e 49% dos CT, e que não há valores ausentes em nenhuma das 97 colunas. A heurística de que "a equipe mais rica vence" foi quantificada em torno de 60,5% de acerto, e a bomba encontra-se plantada em cerca de 11% dos snapshots. O achado mais importante para a integridade do estudo foi a identificação de vazamento de informação: como há múltiplos snapshots por round ao longo do tempo, instâncias capturadas no meio ou no fim do round revelam parcialmente o desfecho, exigindo a filtragem pela variável time_left. Quanto aos outliers, a distribuição de money_diff apresenta cauda longa, e a análise por boxplot confirma a presença de valores extremos que, por preservarem informação tática, não foram removidos. Esses resultados estão sintetizados no Quadro 5.</w:t>
      </w:r>
    </w:p>
    <w:p>
      <w:pPr>
        <w:keepNext/>
        <w:spacing w:before="140" w:after="40" w:line="240" w:lineRule="auto"/>
        <w:jc w:val="center"/>
      </w:pPr>
      <w:r>
        <w:rPr>
          <w:rFonts w:ascii="Times New Roman" w:hAnsi="Times New Roman" w:cs="Times New Roman"/>
          <w:b/>
          <w:sz w:val="22"/>
          <w:szCs w:val="22"/>
        </w:rPr>
        <w:t xml:space="preserve">Quadro 5 — Principais achados da Análise Exploratória de Dados</w:t>
      </w:r>
    </w:p>
    <w:tbl>
      <w:tblPr>
        <w:tblW w:w="5000" w:type="pct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Achado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Valor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Balanceamento de classes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 ≈ 51% / CT ≈ 49% (balanceado)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Valores ausentes (NaN)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 em todas as 97 colunas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Heurística "time mais rico vence"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~60,5% de acerto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Bomba plantada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~11% dos snapshots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Data leakage identificado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Múltiplos snapshots por round → filtrar time_left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Outliers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money_diff com cauda longa; mantidos por preservarem informação tática</w:t>
            </w:r>
          </w:p>
        </w:tc>
      </w:tr>
    </w:tbl>
    <w:p>
      <w:pPr>
        <w:spacing w:before="0" w:after="0" w:line="120" w:lineRule="auto"/>
      </w:pP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keepNext/>
        <w:spacing w:before="140" w:after="40" w:line="240" w:lineRule="auto"/>
        <w:jc w:val="center"/>
      </w:pPr>
      <w:r>
        <w:drawing>
          <wp:inline distT="0" distB="0" distL="0" distR="0">
            <wp:extent cx="4320000" cy="306373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6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Figura 1 — Distribuição do vencedor do round (CT vs T) no dataset completo.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keepNext/>
        <w:spacing w:before="140" w:after="40" w:line="240" w:lineRule="auto"/>
        <w:jc w:val="center"/>
      </w:pPr>
      <w:r>
        <w:drawing>
          <wp:inline distT="0" distB="0" distL="0" distR="0">
            <wp:extent cx="5760000" cy="18659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6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Figura 2 — Relação entre a diferença econômica (money_diff) e a vitória do round.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keepNext/>
        <w:spacing w:before="140" w:after="40" w:line="240" w:lineRule="auto"/>
        <w:jc w:val="center"/>
      </w:pPr>
      <w:r>
        <w:drawing>
          <wp:inline distT="0" distB="0" distL="0" distR="0">
            <wp:extent cx="4680000" cy="253336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Figura 3 — Taxa de vitória por categoria de buy tier (CT e T).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4.3 Pré-processamento e Feature Engineering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Com base nos riscos identificados na EDA, foram aplicados filtros voltados a eliminar o vazamento de informação e a garantir a comparabilidade das instâncias. Consideraram-se apenas os snapshots de início de round (time_left ≥ 150), de modo a evitar a contaminação por eventos do meio ou do fim do round; exigiu-se que ambas as equipes estivessem completas (cinco CT e cinco T vivos), assegurando um estado inicial equilibrado; e excluiu-se o mapa de_cache, por dispor de amostra insuficiente (145 linhas). Esses critérios reduziram o conjunto de 122.410 para 33.365 linhas efetivamente utilizáveis, conforme o Quadro 6.</w:t>
      </w:r>
    </w:p>
    <w:p>
      <w:pPr>
        <w:keepNext/>
        <w:spacing w:before="140" w:after="40" w:line="240" w:lineRule="auto"/>
        <w:jc w:val="center"/>
      </w:pPr>
      <w:r>
        <w:rPr>
          <w:rFonts w:ascii="Times New Roman" w:hAnsi="Times New Roman" w:cs="Times New Roman"/>
          <w:b/>
          <w:sz w:val="22"/>
          <w:szCs w:val="22"/>
        </w:rPr>
        <w:t xml:space="preserve">Quadro 6 — Filtros de pré-processamento aplicados</w:t>
      </w:r>
    </w:p>
    <w:tbl>
      <w:tblPr>
        <w:tblW w:w="5000" w:type="pct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Filtro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Condição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Justificativa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Início de round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time_left ≥ 150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Evitar leakage de eventos do meio/fim do round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Times completos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5 CT e 5 T vivos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Garantir estado inicial equilibrado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Mapa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Excluir de_cache (145 linhas)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Mapa com amostra insuficiente</w:t>
            </w:r>
          </w:p>
        </w:tc>
      </w:tr>
    </w:tbl>
    <w:p>
      <w:pPr>
        <w:spacing w:before="0" w:after="0" w:line="120" w:lineRule="auto"/>
      </w:pP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etapa de engenharia de atributos derivou novas variáveis a partir dos dados brutos, com o objetivo de tornar explícitas relações relevantes do domínio. Entre elas destacam-se money_diff, as diferenças de vida, armadura e número de jogadores entre as equipes, a razão econômica (money_ratio), as contagens de AWP, de rifles e de utilitários, a categorização em buy tier e a variável-alvo de classificação (target_cls). O pré-processamento foi encapsulado em um pipeline do scikit-learn, combinando a padronização das variáveis numéricas (StandardScaler) com a codificação one-hot das variáveis categóricas (OneHotEncoder), aplicada ao mapa e ao buy tier.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Os dados foram divididos em 80% para treino e 20% para teste, com estratificação na tarefa de classificação. A validação dos hiperparâmetros foi realizada por validação cruzada de três dobras (3-fold) dentro do conjunto de treino, por meio do GridSearchCV, substituindo um conjunto de validação fixo separado. O tratamento de valores nulos não foi necessário, dada a ausência de dados faltantes. Reconhece-se, como limitação metodológica, que o conjunto de dados não dispõe de um identificador de round; assim, snapshots de um mesmo round podem aparecer simultaneamente nos conjuntos de treino e de teste.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4.4 Implementação, treinamento e otimização dos modelos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Todos os modelos foram implementados em scikit-learn e otimizados com GridSearchCV (validação cruzada de três dobras). Na classificação, ajustaram-se os hiperparâmetros indicados no Quadro 7. A Regressão Logística foi treinada com balanceamento de classes (class_weight = balanced) e busca pelo parâmetro de regularização C; o Random Forest teve a profundidade máxima e o número mínimo de amostras por folha otimizados, apresentando o melhor desempenho geral; o SVM com kernel RBF, por seu elevado custo computacional, foi treinado em uma subamostra de 6.000 linhas, com busca em C e gamma; e o KNN teve o número de vizinhos otimizado, com padronização incorporada ao pipeline.</w:t>
      </w:r>
    </w:p>
    <w:p>
      <w:pPr>
        <w:keepNext/>
        <w:spacing w:before="140" w:after="40" w:line="240" w:lineRule="auto"/>
        <w:jc w:val="center"/>
      </w:pPr>
      <w:r>
        <w:rPr>
          <w:rFonts w:ascii="Times New Roman" w:hAnsi="Times New Roman" w:cs="Times New Roman"/>
          <w:b/>
          <w:sz w:val="22"/>
          <w:szCs w:val="22"/>
        </w:rPr>
        <w:t xml:space="preserve">Quadro 7 — Hiperparâmetros otimizados na classificação</w:t>
      </w:r>
    </w:p>
    <w:tbl>
      <w:tblPr>
        <w:tblW w:w="5000" w:type="pct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Modelo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Hiperparâmetros otimizados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Observação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Regressão Logística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C: 0,1; 1; 10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class_weight = balanced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Random Forest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max_depth; min_samples_leaf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Melhor desempenho geral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SVM (RBF)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C; gamma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Subamostra de 6.000 linhas (custo computacional)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KNN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n_neighbors: 5; 11; 21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Com StandardScaler no pipeline</w:t>
            </w:r>
          </w:p>
        </w:tc>
      </w:tr>
    </w:tbl>
    <w:p>
      <w:pPr>
        <w:spacing w:before="0" w:after="0" w:line="120" w:lineRule="auto"/>
      </w:pP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Na tarefa de regressão, cuja variável-alvo é money_diff, foram treinados dois modelos, descritos no Quadro 8. A Regressão Linear atuou como baseline, com o cuidado de não utilizar diretamente as variáveis ct_money e t_money como preditoras, a fim de evitar vazamento trivial; o Random Forest Regressor obteve o melhor desempenho na regressão.</w:t>
      </w:r>
    </w:p>
    <w:p>
      <w:pPr>
        <w:keepNext/>
        <w:spacing w:before="140" w:after="40" w:line="240" w:lineRule="auto"/>
        <w:jc w:val="center"/>
      </w:pPr>
      <w:r>
        <w:rPr>
          <w:rFonts w:ascii="Times New Roman" w:hAnsi="Times New Roman" w:cs="Times New Roman"/>
          <w:b/>
          <w:sz w:val="22"/>
          <w:szCs w:val="22"/>
        </w:rPr>
        <w:t xml:space="preserve">Quadro 8 — Modelos de regressão (alvo: money_diff)</w:t>
      </w:r>
    </w:p>
    <w:tbl>
      <w:tblPr>
        <w:tblW w:w="5000" w:type="pct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Modelo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Observação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Regressão Linear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Baseline; sem vazar ct_money/t_money diretamente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Random Forest Regressor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Melhor desempenho na regressão</w:t>
            </w:r>
          </w:p>
        </w:tc>
      </w:tr>
    </w:tbl>
    <w:p>
      <w:pPr>
        <w:spacing w:before="0" w:after="0" w:line="120" w:lineRule="auto"/>
      </w:pP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5 RESULTADOS E ANÁLISE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5.1 Classificação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No conjunto de teste, composto por aproximadamente 6.673 linhas, os quatro classificadores foram avaliados segundo Accuracy, Precision, Recall, F1-Score e ROC-AUC. A Tabela 1 apresenta os resultados obtidos.</w:t>
      </w:r>
    </w:p>
    <w:p>
      <w:pPr>
        <w:keepNext/>
        <w:spacing w:before="140" w:after="40" w:line="240" w:lineRule="auto"/>
        <w:jc w:val="center"/>
      </w:pPr>
      <w:r>
        <w:rPr>
          <w:rFonts w:ascii="Times New Roman" w:hAnsi="Times New Roman" w:cs="Times New Roman"/>
          <w:b/>
          <w:sz w:val="22"/>
          <w:szCs w:val="22"/>
        </w:rPr>
        <w:t xml:space="preserve">Tabela 1 — Métricas de classificação no conjunto de teste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Layout w:type="autofit"/>
      </w:tblPr>
      <w:tr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Modelo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Accuracy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Precision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Recall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F1-Score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ROC-AUC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Regressão Logística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0,774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0,772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0,769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0,770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0,878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SVM (RBF)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0,781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0,780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0,779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0,780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0,878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KNN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0,866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0,864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0,862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0,863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0,938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Random Forest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0,901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0,900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0,898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0,899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0,970</w:t>
            </w:r>
          </w:p>
        </w:tc>
      </w:tr>
    </w:tbl>
    <w:p>
      <w:pPr>
        <w:spacing w:before="0" w:after="0" w:line="120" w:lineRule="auto"/>
      </w:pP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Fonte: Elaborado pelos autores (2026). Nota: os valores de Precision e Recall do KNN e do Random Forest são aproximados com base no F1-Score e no balanceamento (~50/50) das classes.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 melhor modelo foi o Random Forest, com F1-Score de 0,899 e ROC-AUC de 0,970. A escolha das métricas justifica-se pelo equilíbrio das classes CT e T (~51%/49%), que torna a Accuracy informativa; o F1-Score, por sua vez, equilibra Precision e Recall, enquanto o ROC-AUC mede a capacidade de ranqueamento probabilístico independentemente do limiar de decisão — atributo especialmente relevante para a estimação da win probability.</w:t>
      </w:r>
    </w:p>
    <w:p>
      <w:pPr>
        <w:keepNext/>
        <w:spacing w:before="140" w:after="40" w:line="240" w:lineRule="auto"/>
        <w:jc w:val="center"/>
      </w:pPr>
      <w:r>
        <w:drawing>
          <wp:inline distT="0" distB="0" distL="0" distR="0">
            <wp:extent cx="3960000" cy="4023529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2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Figura 4 — Curvas ROC dos classificadores no conjunto de teste.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keepNext/>
        <w:spacing w:before="140" w:after="40" w:line="240" w:lineRule="auto"/>
        <w:jc w:val="center"/>
      </w:pPr>
      <w:r>
        <w:drawing>
          <wp:inline distT="0" distB="0" distL="0" distR="0">
            <wp:extent cx="3780000" cy="3327514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32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Figura 5 — Matriz de confusão do Random Forest (melhor classificador).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keepNext/>
        <w:spacing w:before="140" w:after="40" w:line="240" w:lineRule="auto"/>
        <w:jc w:val="center"/>
      </w:pPr>
      <w:r>
        <w:drawing>
          <wp:inline distT="0" distB="0" distL="0" distR="0">
            <wp:extent cx="5040000" cy="310978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Figura 6 — Importância dos atributos — Random Forest (classificação).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5.2 Regressão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Para a tarefa de regressão da variável money_diff, os modelos foram avaliados pelo Erro Absoluto Médio (MAE), pela Raiz do Erro Quadrático Médio (RMSE) e pelo coeficiente de determinação (R²). A Tabela 2 resume os resultados, evidenciando a superioridade do Random Forest Regressor sobre o baseline linear.</w:t>
      </w:r>
    </w:p>
    <w:p>
      <w:pPr>
        <w:keepNext/>
        <w:spacing w:before="140" w:after="40" w:line="240" w:lineRule="auto"/>
        <w:jc w:val="center"/>
      </w:pPr>
      <w:r>
        <w:rPr>
          <w:rFonts w:ascii="Times New Roman" w:hAnsi="Times New Roman" w:cs="Times New Roman"/>
          <w:b/>
          <w:sz w:val="22"/>
          <w:szCs w:val="22"/>
        </w:rPr>
        <w:t xml:space="preserve">Tabela 2 — Métricas de regressão no conjunto de teste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Layout w:type="autofit"/>
      </w:tblPr>
      <w:tr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Modelo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MAE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RMSE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R²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Regressão Linear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6.588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9.227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0,451</w:t>
            </w:r>
          </w:p>
        </w:tc>
      </w:tr>
      <w:tr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Random Forest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4.828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7.896</w:t>
            </w:r>
          </w:p>
        </w:tc>
        <w:tc>
          <w:tcPr>
            <w:tcW w:w="0" w:type="auto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0,598</w:t>
            </w:r>
          </w:p>
        </w:tc>
      </w:tr>
    </w:tbl>
    <w:p>
      <w:pPr>
        <w:spacing w:before="0" w:after="0" w:line="120" w:lineRule="auto"/>
      </w:pP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keepNext/>
        <w:spacing w:before="140" w:after="40" w:line="240" w:lineRule="auto"/>
        <w:jc w:val="center"/>
      </w:pPr>
      <w:r>
        <w:drawing>
          <wp:inline distT="0" distB="0" distL="0" distR="0">
            <wp:extent cx="3960000" cy="3724752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72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Figura 7 — Valores reais vs. previstos — Random Forest Regressor.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Fonte: Elaborado pelos autores (2026).</w:t>
      </w:r>
    </w:p>
    <w:p>
      <w:pPr>
        <w:keepNext/>
        <w:spacing w:before="200" w:after="8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5.3 Análise crítica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 desempenho superior do Random Forest decorre de sua capacidade de capturar interações não lineares entre mapa, economia e armamento, dimensões que, combinadas, determinam o desfecho do round. A Regressão Logística e o SVM atingiram F1-Score em torno de 0,78, o que indica que as relações subjacentes são mais complexas do que fronteiras de decisão lineares simples conseguem representar. O KNN mostrou-se competitivo, com F1-Score próximo de 0,86, ainda que inferior ao Random Forest.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Algumas limitações devem ser ponderadas. Os dados referem-se ao período 2019–2020, anterior ao lançamento do CS2, o que pode reduzir a aderência das conclusões ao metagame atual. Persiste, ainda, a possibilidade de vazamento residual entre snapshots de um mesmo round, dada a ausência de identificador que permita um particionamento agrupado. Além disso, o SVM foi treinado em uma subamostra, por limitação computacional, o que pode subestimar seu potencial. Por fim, observa-se um trade-off entre interpretabilidade e desempenho: a Regressão Logística é mais transparente e auditável, ao passo que o Random Forest oferece, simultaneamente, maior acurácia e uma medida útil de importância dos atributos.</w:t>
      </w:r>
    </w:p>
    <w:p>
      <w:pPr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6 CONCLUSÃO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 projeto atingiu os objetivos propostos pela disciplina: realizou uma EDA completa, conduziu o pré-processamento com filtros anti-leakage, comparou múltiplos modelos clássicos — Regressão Logística, SVM, KNN e Random Forest —, empregou métricas adequadas a cada tarefa e entregou um pipeline reproduzível no Google Colab.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 Random Forest obteve F1-Score de 0,899 e ROC-AUC de 0,970, demonstrando que a economia e o armamento, combinados a variáveis táticas, predizem satisfatoriamente o vencedor do round. Tais fatores, contudo, não determinam isoladamente o resultado, como evidencia o fato de a heurística econômica simples acertar apenas cerca de 60,5% dos casos. Como trabalhos futuros, sugere-se incorporar dados do CS2, adotar um particionamento agrupado por identificador de round e desenvolver um painel de probabilidade de vitória em tempo real.</w:t>
      </w:r>
    </w:p>
    <w:p>
      <w:pPr>
        <w:keepNext/>
        <w:spacing w:before="240" w:after="12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7 REPRODUTIBILIDADE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reprodução integral dos resultados pode ser realizada em três passos. Primeiro, abre-se o notebook consolidado em colab.research.google.com/github/carloseduardob/projeto-machine-learning-csgo/blob/main/notebooks/COLAB_PROJETO-COMPLETO.ipynb. Em seguida, executa-se o menu "Runtime → Executar tudo", sendo a CPU suficiente, com tempo estimado entre 10 e 20 minutos. Por fim, verificam-se as saídas geradas nos arquivos /content/reports/metrics/model_results.json e no diretório /content/reports/figures/.</w:t>
      </w:r>
    </w:p>
    <w:p>
      <w:pPr>
        <w:keepNext/>
        <w:pageBreakBefore/>
        <w:spacing w:before="0" w:after="120" w:line="360" w:lineRule="auto"/>
        <w:jc w:val="left"/>
      </w:pPr>
      <w:r>
        <w:rPr>
          <w:rFonts w:ascii="Times New Roman" w:hAnsi="Times New Roman" w:cs="Times New Roman"/>
          <w:b/>
          <w:sz w:val="24"/>
          <w:szCs w:val="24"/>
        </w:rPr>
        <w:t xml:space="preserve">REFERÊNCIAS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BREIMAN, Leo. Random forests. </w:t>
      </w:r>
      <w:r>
        <w:rPr>
          <w:rFonts w:ascii="Times New Roman" w:hAnsi="Times New Roman" w:cs="Times New Roman"/>
          <w:b/>
          <w:sz w:val="24"/>
          <w:szCs w:val="24"/>
        </w:rPr>
        <w:t xml:space="preserve">Machine Learning</w:t>
      </w:r>
      <w:r>
        <w:rPr>
          <w:rFonts w:ascii="Times New Roman" w:hAnsi="Times New Roman" w:cs="Times New Roman"/>
          <w:sz w:val="24"/>
          <w:szCs w:val="24"/>
        </w:rPr>
        <w:t xml:space="preserve">, v. 45, n. 1, p. 5-32, 2001.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CORTES, Corinna; VAPNIK, Vladimir. Support-vector networks. </w:t>
      </w:r>
      <w:r>
        <w:rPr>
          <w:rFonts w:ascii="Times New Roman" w:hAnsi="Times New Roman" w:cs="Times New Roman"/>
          <w:b/>
          <w:sz w:val="24"/>
          <w:szCs w:val="24"/>
        </w:rPr>
        <w:t xml:space="preserve">Machine Learning</w:t>
      </w:r>
      <w:r>
        <w:rPr>
          <w:rFonts w:ascii="Times New Roman" w:hAnsi="Times New Roman" w:cs="Times New Roman"/>
          <w:sz w:val="24"/>
          <w:szCs w:val="24"/>
        </w:rPr>
        <w:t xml:space="preserve">, v. 20, n. 3, p. 273-297, 1995.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COVER, Thomas; HART, Peter. Nearest neighbor pattern classification. </w:t>
      </w:r>
      <w:r>
        <w:rPr>
          <w:rFonts w:ascii="Times New Roman" w:hAnsi="Times New Roman" w:cs="Times New Roman"/>
          <w:b/>
          <w:sz w:val="24"/>
          <w:szCs w:val="24"/>
        </w:rPr>
        <w:t xml:space="preserve">IEEE Transactions on Information Theory</w:t>
      </w:r>
      <w:r>
        <w:rPr>
          <w:rFonts w:ascii="Times New Roman" w:hAnsi="Times New Roman" w:cs="Times New Roman"/>
          <w:sz w:val="24"/>
          <w:szCs w:val="24"/>
        </w:rPr>
        <w:t xml:space="preserve">, v. 13, n. 1, p. 21-27, 1967.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CSGOPREDICTOR. </w:t>
      </w:r>
      <w:r>
        <w:rPr>
          <w:rFonts w:ascii="Times New Roman" w:hAnsi="Times New Roman" w:cs="Times New Roman"/>
          <w:b/>
          <w:sz w:val="24"/>
          <w:szCs w:val="24"/>
        </w:rPr>
        <w:t xml:space="preserve">CSGOPredictor — live round winner predictions</w:t>
      </w:r>
      <w:r>
        <w:rPr>
          <w:rFonts w:ascii="Times New Roman" w:hAnsi="Times New Roman" w:cs="Times New Roman"/>
          <w:sz w:val="24"/>
          <w:szCs w:val="24"/>
        </w:rPr>
        <w:t xml:space="preserve">. GitHub. Disponível em: https://github.com/d-roho/CSGOPredictor. Acesso em: 8 jun. 2026.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GHOSH, Soumyadeep. </w:t>
      </w:r>
      <w:r>
        <w:rPr>
          <w:rFonts w:ascii="Times New Roman" w:hAnsi="Times New Roman" w:cs="Times New Roman"/>
          <w:b/>
          <w:sz w:val="24"/>
          <w:szCs w:val="24"/>
        </w:rPr>
        <w:t xml:space="preserve">CS-GO Round Win Predictor</w:t>
      </w:r>
      <w:r>
        <w:rPr>
          <w:rFonts w:ascii="Times New Roman" w:hAnsi="Times New Roman" w:cs="Times New Roman"/>
          <w:sz w:val="24"/>
          <w:szCs w:val="24"/>
        </w:rPr>
        <w:t xml:space="preserve">. GitHub, 2020. Disponível em: https://github.com/soumyadeepghoshGG/CS-GO-Round-Win-Predictor. Acesso em: 8 jun. 2026.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HIEMSTRA, Paul. </w:t>
      </w:r>
      <w:r>
        <w:rPr>
          <w:rFonts w:ascii="Times New Roman" w:hAnsi="Times New Roman" w:cs="Times New Roman"/>
          <w:b/>
          <w:sz w:val="24"/>
          <w:szCs w:val="24"/>
        </w:rPr>
        <w:t xml:space="preserve">Who will win the next round of Counter-Strike: Global Offensive?</w:t>
      </w:r>
      <w:r>
        <w:rPr>
          <w:rFonts w:ascii="Times New Roman" w:hAnsi="Times New Roman" w:cs="Times New Roman"/>
          <w:sz w:val="24"/>
          <w:szCs w:val="24"/>
        </w:rPr>
        <w:t xml:space="preserve"> Towards Data Science, 2021. Disponível em: https://medium.com/data-science/who-will-win-the-next-round-of-counter-strike-global-offensive-de574a4f37f4. Acesso em: 8 jun. 2026.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LILLELUND, Christian. </w:t>
      </w:r>
      <w:r>
        <w:rPr>
          <w:rFonts w:ascii="Times New Roman" w:hAnsi="Times New Roman" w:cs="Times New Roman"/>
          <w:b/>
          <w:sz w:val="24"/>
          <w:szCs w:val="24"/>
        </w:rPr>
        <w:t xml:space="preserve">CS:GO round winner classification</w:t>
      </w:r>
      <w:r>
        <w:rPr>
          <w:rFonts w:ascii="Times New Roman" w:hAnsi="Times New Roman" w:cs="Times New Roman"/>
          <w:sz w:val="24"/>
          <w:szCs w:val="24"/>
        </w:rPr>
        <w:t xml:space="preserve">. Kaggle, 2020. Disponível em: https://www.kaggle.com/datasets/christianlillelund/csgo-round-winner-classification. Acesso em: 8 jun. 2026.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PEDREGOSA, Fabian et al. Scikit-learn: Machine Learning in Python. </w:t>
      </w:r>
      <w:r>
        <w:rPr>
          <w:rFonts w:ascii="Times New Roman" w:hAnsi="Times New Roman" w:cs="Times New Roman"/>
          <w:b/>
          <w:sz w:val="24"/>
          <w:szCs w:val="24"/>
        </w:rPr>
        <w:t xml:space="preserve">Journal of Machine Learning Research</w:t>
      </w:r>
      <w:r>
        <w:rPr>
          <w:rFonts w:ascii="Times New Roman" w:hAnsi="Times New Roman" w:cs="Times New Roman"/>
          <w:sz w:val="24"/>
          <w:szCs w:val="24"/>
        </w:rPr>
        <w:t xml:space="preserve">, v. 12, p. 2825-2830, 2011.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SAMANTA, Gyanesh. </w:t>
      </w:r>
      <w:r>
        <w:rPr>
          <w:rFonts w:ascii="Times New Roman" w:hAnsi="Times New Roman" w:cs="Times New Roman"/>
          <w:b/>
          <w:sz w:val="24"/>
          <w:szCs w:val="24"/>
        </w:rPr>
        <w:t xml:space="preserve">CS-GO-Round-winner-classification</w:t>
      </w:r>
      <w:r>
        <w:rPr>
          <w:rFonts w:ascii="Times New Roman" w:hAnsi="Times New Roman" w:cs="Times New Roman"/>
          <w:sz w:val="24"/>
          <w:szCs w:val="24"/>
        </w:rPr>
        <w:t xml:space="preserve">. GitHub. Disponível em: https://github.com/GyaneshSamanta/CS-GO-Round-winner-classification. Acesso em: 8 jun. 2026.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SKYBOX. </w:t>
      </w:r>
      <w:r>
        <w:rPr>
          <w:rFonts w:ascii="Times New Roman" w:hAnsi="Times New Roman" w:cs="Times New Roman"/>
          <w:b/>
          <w:sz w:val="24"/>
          <w:szCs w:val="24"/>
        </w:rPr>
        <w:t xml:space="preserve">CS:GO AI Challenge</w:t>
      </w:r>
      <w:r>
        <w:rPr>
          <w:rFonts w:ascii="Times New Roman" w:hAnsi="Times New Roman" w:cs="Times New Roman"/>
          <w:sz w:val="24"/>
          <w:szCs w:val="24"/>
        </w:rPr>
        <w:t xml:space="preserve">. Skybox.gg, 2020. Disponível em: https://skybox.gg/blog/csgo-predictions-showcased-at-blast-premier. Acesso em: 8 jun. 2026.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THECML. </w:t>
      </w:r>
      <w:r>
        <w:rPr>
          <w:rFonts w:ascii="Times New Roman" w:hAnsi="Times New Roman" w:cs="Times New Roman"/>
          <w:b/>
          <w:sz w:val="24"/>
          <w:szCs w:val="24"/>
        </w:rPr>
        <w:t xml:space="preserve">csgo-ai-challenge</w:t>
      </w:r>
      <w:r>
        <w:rPr>
          <w:rFonts w:ascii="Times New Roman" w:hAnsi="Times New Roman" w:cs="Times New Roman"/>
          <w:sz w:val="24"/>
          <w:szCs w:val="24"/>
        </w:rPr>
        <w:t xml:space="preserve">. GitHub, 2020. Disponível em: https://github.com/thecml/csgo-ai-challenge. Acesso em: 8 jun. 2026.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 xml:space="preserve">XENOPOULOS, Peter et al. Trajectory and player action mining in CSGO. </w:t>
      </w:r>
      <w:r>
        <w:rPr>
          <w:rFonts w:ascii="Times New Roman" w:hAnsi="Times New Roman" w:cs="Times New Roman"/>
          <w:b/>
          <w:sz w:val="24"/>
          <w:szCs w:val="24"/>
        </w:rPr>
        <w:t xml:space="preserve">KDD Workshop</w:t>
      </w:r>
      <w:r>
        <w:rPr>
          <w:rFonts w:ascii="Times New Roman" w:hAnsi="Times New Roman" w:cs="Times New Roman"/>
          <w:sz w:val="24"/>
          <w:szCs w:val="24"/>
        </w:rPr>
        <w:t xml:space="preserve">, 2022.</w:t>
      </w:r>
    </w:p>
    <w:sectPr>
      <w:headerReference w:type="default" r:id="rIdHeader"/>
      <w:pgSz w:w="11906" w:h="16838"/>
      <w:pgMar w:top="1701" w:right="1134" w:bottom="1134" w:left="1701" w:header="709" w:footer="709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fldSimple w:instr=" PAGE ">
      <w:r>
        <w:rPr>
          <w:rFonts w:ascii="Times New Roman" w:hAnsi="Times New Roman" w:cs="Times New Roman"/>
          <w:sz w:val="20"/>
        </w:rPr>
        <w:t>1</w:t>
      </w:r>
    </w:fldSimple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pt-BR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/Relationships>
</file>