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both"/>
        <w:rPr>
          <w:rFonts w:ascii="Calibri" w:hAnsi="Calibri" w:eastAsia="Calibri" w:cs="Calibri"/>
          <w:b/>
          <w:bCs/>
          <w:color w:val="1A3A5C"/>
          <w:sz w:val="36"/>
          <w:szCs w:val="36"/>
        </w:rPr>
      </w:pPr>
      <w:r>
        <w:rPr>
          <w:rFonts w:eastAsia="Calibri" w:cs="Calibri"/>
          <w:b/>
          <w:bCs/>
          <w:color w:val="1A3A5C"/>
          <w:sz w:val="36"/>
          <w:szCs w:val="36"/>
        </w:rPr>
      </w:r>
    </w:p>
    <w:p>
      <w:pPr>
        <w:pStyle w:val="Normal"/>
        <w:widowControl/>
        <w:bidi w:val="0"/>
        <w:spacing w:lineRule="auto" w:line="240" w:before="0" w:after="0"/>
        <w:ind w:hanging="0" w:start="0" w:end="0"/>
        <w:jc w:val="center"/>
        <w:rPr>
          <w:rFonts w:ascii="Calibri" w:hAnsi="Calibri" w:eastAsia="Calibri" w:cs="Calibri"/>
          <w:b/>
          <w:bCs/>
          <w:color w:val="1A3A5C"/>
          <w:sz w:val="36"/>
          <w:szCs w:val="36"/>
        </w:rPr>
      </w:pPr>
      <w:r>
        <w:rPr>
          <w:rFonts w:eastAsia="Calibri" w:cs="Calibri"/>
          <w:b/>
          <w:bCs/>
          <w:color w:val="1A3A5C"/>
          <w:sz w:val="36"/>
          <w:szCs w:val="36"/>
        </w:rPr>
        <w:t>PROYECTO INTEGRADOR DE DOMINIO AUTÓNOMO</w:t>
      </w:r>
    </w:p>
    <w:p>
      <w:pPr>
        <w:pStyle w:val="Normal"/>
        <w:widowControl/>
        <w:bidi w:val="0"/>
        <w:spacing w:lineRule="auto" w:line="240" w:before="0" w:after="0"/>
        <w:ind w:hanging="0" w:start="0" w:end="0"/>
        <w:jc w:val="center"/>
        <w:rPr/>
      </w:pPr>
      <w:r>
        <w:rPr>
          <w:rFonts w:eastAsia="Calibri" w:cs="Calibri"/>
          <w:color w:val="2E75B6"/>
          <w:sz w:val="24"/>
          <w:szCs w:val="24"/>
        </w:rPr>
        <w:t>Diplomado Citizen Data Scientist — The Learning Gate</w:t>
      </w:r>
    </w:p>
    <w:p>
      <w:pPr>
        <w:pStyle w:val="Normal"/>
        <w:widowControl/>
        <w:pBdr>
          <w:bottom w:val="single" w:sz="6" w:space="2" w:color="2E75B6"/>
        </w:pBdr>
        <w:bidi w:val="0"/>
        <w:spacing w:lineRule="auto" w:line="240" w:before="0" w:after="0"/>
        <w:ind w:hanging="0" w:start="0" w:end="0"/>
        <w:jc w:val="center"/>
        <w:rPr/>
      </w:pPr>
      <w:r>
        <w:rPr/>
      </w:r>
    </w:p>
    <w:p>
      <w:pPr>
        <w:pStyle w:val="Normal"/>
        <w:widowControl/>
        <w:bidi w:val="0"/>
        <w:spacing w:lineRule="auto" w:line="240" w:before="0" w:after="0"/>
        <w:ind w:hanging="0" w:start="0" w:end="0"/>
        <w:jc w:val="center"/>
        <w:rPr/>
      </w:pPr>
      <w:r>
        <w:rPr>
          <w:rFonts w:eastAsia="Calibri" w:cs="Calibri"/>
          <w:b/>
          <w:bCs/>
          <w:color w:val="1A3A5C"/>
          <w:sz w:val="46"/>
          <w:szCs w:val="46"/>
        </w:rPr>
        <w:t>Gemelo Digital de Inventario en Retail</w:t>
      </w:r>
    </w:p>
    <w:p>
      <w:pPr>
        <w:pStyle w:val="Normal"/>
        <w:widowControl/>
        <w:bidi w:val="0"/>
        <w:spacing w:lineRule="auto" w:line="240" w:before="0" w:after="0"/>
        <w:ind w:hanging="0" w:start="0" w:end="0"/>
        <w:jc w:val="center"/>
        <w:rPr/>
      </w:pPr>
      <w:r>
        <w:rPr>
          <w:rFonts w:eastAsia="Calibri" w:cs="Calibri"/>
          <w:color w:val="595959"/>
          <w:sz w:val="26"/>
          <w:szCs w:val="26"/>
        </w:rPr>
        <w:t>Analítica Prescriptiva para Optimización de Compra en Mercería</w:t>
      </w:r>
    </w:p>
    <w:p>
      <w:pPr>
        <w:pStyle w:val="Normal"/>
        <w:widowControl/>
        <w:bidi w:val="0"/>
        <w:spacing w:lineRule="auto" w:line="240" w:before="0" w:after="0"/>
        <w:ind w:hanging="0" w:start="0" w:end="0"/>
        <w:jc w:val="center"/>
        <w:rPr/>
      </w:pPr>
      <w:r>
        <w:rPr/>
      </w:r>
    </w:p>
    <w:p>
      <w:pPr>
        <w:pStyle w:val="Normal"/>
        <w:widowControl/>
        <w:bidi w:val="0"/>
        <w:spacing w:lineRule="auto" w:line="240" w:before="0" w:after="0"/>
        <w:ind w:hanging="0" w:start="0" w:end="0"/>
        <w:jc w:val="center"/>
        <w:rPr/>
      </w:pPr>
      <w:r>
        <w:rPr/>
      </w:r>
    </w:p>
    <w:tbl>
      <w:tblPr>
        <w:tblW w:w="5760" w:type="dxa"/>
        <w:jc w:val="start"/>
        <w:tblInd w:w="0" w:type="dxa"/>
        <w:tblLayout w:type="fixed"/>
        <w:tblCellMar>
          <w:top w:w="80" w:type="dxa"/>
          <w:start w:w="120" w:type="dxa"/>
          <w:bottom w:w="80" w:type="dxa"/>
          <w:end w:w="120" w:type="dxa"/>
        </w:tblCellMar>
      </w:tblPr>
      <w:tblGrid>
        <w:gridCol w:w="2400"/>
        <w:gridCol w:w="3360"/>
      </w:tblGrid>
      <w:tr>
        <w:trPr/>
        <w:tc>
          <w:tcPr>
            <w:tcW w:w="2400" w:type="dxa"/>
            <w:tcBorders>
              <w:top w:val="single" w:sz="4" w:space="0" w:color="BBBBBB"/>
              <w:start w:val="single" w:sz="4" w:space="0" w:color="BBBBBB"/>
              <w:bottom w:val="single" w:sz="4" w:space="0" w:color="BBBBBB"/>
              <w:end w:val="single" w:sz="4" w:space="0" w:color="BBBBBB"/>
            </w:tcBorders>
            <w:shd w:fill="1A3A5C" w:val="clear"/>
            <w:vAlign w:val="center"/>
          </w:tcPr>
          <w:p>
            <w:pPr>
              <w:pStyle w:val="Normal"/>
              <w:widowControl/>
              <w:bidi w:val="0"/>
              <w:spacing w:lineRule="auto" w:line="240" w:before="0" w:after="0"/>
              <w:ind w:hanging="0" w:start="0" w:end="0"/>
              <w:jc w:val="center"/>
              <w:rPr/>
            </w:pPr>
            <w:r>
              <w:rPr>
                <w:rFonts w:eastAsia="Calibri" w:cs="Calibri"/>
                <w:b/>
                <w:bCs/>
                <w:color w:val="FFFFFF"/>
                <w:sz w:val="20"/>
                <w:szCs w:val="20"/>
              </w:rPr>
              <w:t>Participante</w:t>
            </w:r>
          </w:p>
        </w:tc>
        <w:tc>
          <w:tcPr>
            <w:tcW w:w="33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center"/>
              <w:rPr/>
            </w:pPr>
            <w:r>
              <w:rPr>
                <w:rFonts w:eastAsia="Calibri" w:cs="Calibri"/>
                <w:b/>
                <w:bCs/>
                <w:color w:val="000000"/>
                <w:sz w:val="20"/>
                <w:szCs w:val="20"/>
              </w:rPr>
              <w:t>Carlos Escalante Sánchez</w:t>
            </w:r>
          </w:p>
        </w:tc>
      </w:tr>
      <w:tr>
        <w:trPr/>
        <w:tc>
          <w:tcPr>
            <w:tcW w:w="24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center"/>
              <w:rPr/>
            </w:pPr>
            <w:r>
              <w:rPr>
                <w:rFonts w:eastAsia="Calibri" w:cs="Calibri"/>
                <w:b/>
                <w:bCs/>
                <w:color w:val="000000"/>
                <w:sz w:val="20"/>
                <w:szCs w:val="20"/>
              </w:rPr>
              <w:t>Programa</w:t>
            </w:r>
          </w:p>
        </w:tc>
        <w:tc>
          <w:tcPr>
            <w:tcW w:w="33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center"/>
              <w:rPr/>
            </w:pPr>
            <w:r>
              <w:rPr>
                <w:rFonts w:eastAsia="Calibri" w:cs="Calibri"/>
                <w:b w:val="false"/>
                <w:bCs w:val="false"/>
                <w:color w:val="000000"/>
                <w:sz w:val="20"/>
                <w:szCs w:val="20"/>
              </w:rPr>
              <w:t>Citizen Data Scientist — TLG</w:t>
            </w:r>
          </w:p>
        </w:tc>
      </w:tr>
      <w:tr>
        <w:trPr/>
        <w:tc>
          <w:tcPr>
            <w:tcW w:w="2400" w:type="dxa"/>
            <w:tcBorders>
              <w:top w:val="single" w:sz="4" w:space="0" w:color="BBBBBB"/>
              <w:start w:val="single" w:sz="4" w:space="0" w:color="BBBBBB"/>
              <w:bottom w:val="single" w:sz="4" w:space="0" w:color="BBBBBB"/>
              <w:end w:val="single" w:sz="4" w:space="0" w:color="BBBBBB"/>
            </w:tcBorders>
            <w:shd w:fill="1A3A5C" w:val="clear"/>
            <w:vAlign w:val="center"/>
          </w:tcPr>
          <w:p>
            <w:pPr>
              <w:pStyle w:val="Normal"/>
              <w:widowControl/>
              <w:bidi w:val="0"/>
              <w:spacing w:lineRule="auto" w:line="240" w:before="0" w:after="0"/>
              <w:ind w:hanging="0" w:start="0" w:end="0"/>
              <w:jc w:val="center"/>
              <w:rPr/>
            </w:pPr>
            <w:r>
              <w:rPr>
                <w:rFonts w:eastAsia="Calibri" w:cs="Calibri"/>
                <w:b/>
                <w:bCs/>
                <w:color w:val="FFFFFF"/>
                <w:sz w:val="20"/>
                <w:szCs w:val="20"/>
              </w:rPr>
              <w:t>Institución</w:t>
            </w:r>
          </w:p>
        </w:tc>
        <w:tc>
          <w:tcPr>
            <w:tcW w:w="33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center"/>
              <w:rPr/>
            </w:pPr>
            <w:r>
              <w:rPr>
                <w:rFonts w:eastAsia="Calibri" w:cs="Calibri"/>
                <w:b w:val="false"/>
                <w:bCs w:val="false"/>
                <w:color w:val="000000"/>
                <w:sz w:val="20"/>
                <w:szCs w:val="20"/>
              </w:rPr>
              <w:t>Tecnológico de Monterrey</w:t>
            </w:r>
          </w:p>
        </w:tc>
      </w:tr>
      <w:tr>
        <w:trPr/>
        <w:tc>
          <w:tcPr>
            <w:tcW w:w="24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center"/>
              <w:rPr/>
            </w:pPr>
            <w:r>
              <w:rPr>
                <w:rFonts w:eastAsia="Calibri" w:cs="Calibri"/>
                <w:b/>
                <w:bCs/>
                <w:color w:val="000000"/>
                <w:sz w:val="20"/>
                <w:szCs w:val="20"/>
              </w:rPr>
              <w:t>Caso de Uso</w:t>
            </w:r>
          </w:p>
        </w:tc>
        <w:tc>
          <w:tcPr>
            <w:tcW w:w="33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center"/>
              <w:rPr/>
            </w:pPr>
            <w:r>
              <w:rPr>
                <w:rFonts w:eastAsia="Calibri" w:cs="Calibri"/>
                <w:b w:val="false"/>
                <w:bCs w:val="false"/>
                <w:color w:val="000000"/>
                <w:sz w:val="20"/>
                <w:szCs w:val="20"/>
              </w:rPr>
              <w:t>Gemelo Digital — Predicción de Demanda y Optimización de Inventario</w:t>
            </w:r>
          </w:p>
        </w:tc>
      </w:tr>
      <w:tr>
        <w:trPr/>
        <w:tc>
          <w:tcPr>
            <w:tcW w:w="2400" w:type="dxa"/>
            <w:tcBorders>
              <w:top w:val="single" w:sz="4" w:space="0" w:color="BBBBBB"/>
              <w:start w:val="single" w:sz="4" w:space="0" w:color="BBBBBB"/>
              <w:bottom w:val="single" w:sz="4" w:space="0" w:color="BBBBBB"/>
              <w:end w:val="single" w:sz="4" w:space="0" w:color="BBBBBB"/>
            </w:tcBorders>
            <w:shd w:fill="1A3A5C" w:val="clear"/>
            <w:vAlign w:val="center"/>
          </w:tcPr>
          <w:p>
            <w:pPr>
              <w:pStyle w:val="Normal"/>
              <w:widowControl/>
              <w:bidi w:val="0"/>
              <w:spacing w:lineRule="auto" w:line="240" w:before="0" w:after="0"/>
              <w:ind w:hanging="0" w:start="0" w:end="0"/>
              <w:jc w:val="center"/>
              <w:rPr/>
            </w:pPr>
            <w:r>
              <w:rPr>
                <w:rFonts w:eastAsia="Calibri" w:cs="Calibri"/>
                <w:b/>
                <w:bCs/>
                <w:color w:val="FFFFFF"/>
                <w:sz w:val="20"/>
                <w:szCs w:val="20"/>
              </w:rPr>
              <w:t>Fecha de Corte</w:t>
            </w:r>
          </w:p>
        </w:tc>
        <w:tc>
          <w:tcPr>
            <w:tcW w:w="33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center"/>
              <w:rPr/>
            </w:pPr>
            <w:r>
              <w:rPr>
                <w:rFonts w:eastAsia="Calibri" w:cs="Calibri"/>
                <w:b w:val="false"/>
                <w:bCs w:val="false"/>
                <w:color w:val="000000"/>
                <w:sz w:val="20"/>
                <w:szCs w:val="20"/>
              </w:rPr>
              <w:t>Mayo</w:t>
            </w:r>
            <w:r>
              <w:rPr>
                <w:rFonts w:eastAsia="Calibri" w:cs="Calibri"/>
                <w:b w:val="false"/>
                <w:bCs w:val="false"/>
                <w:color w:val="000000"/>
                <w:sz w:val="20"/>
                <w:szCs w:val="20"/>
              </w:rPr>
              <w:t xml:space="preserve"> 2026</w:t>
            </w:r>
          </w:p>
        </w:tc>
      </w:tr>
    </w:tbl>
    <w:p>
      <w:pPr>
        <w:pStyle w:val="Normal"/>
        <w:widowControl/>
        <w:bidi w:val="0"/>
        <w:spacing w:lineRule="auto" w:line="240" w:before="0" w:after="0"/>
        <w:ind w:hanging="0" w:start="0" w:end="0"/>
        <w:jc w:val="center"/>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1. Resumen Ejecutivo</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Problema: </w:t>
      </w:r>
      <w:r>
        <w:rPr>
          <w:rFonts w:eastAsia="Calibri" w:cs="Calibri"/>
          <w:b w:val="false"/>
          <w:bCs w:val="false"/>
          <w:color w:val="000000"/>
          <w:sz w:val="22"/>
          <w:szCs w:val="22"/>
        </w:rPr>
        <w:t>Mercería Tommy opera con una política de compra empírica que genera simultáneamente ventas perdidas por quiebres de stock en temporada alta y capital inmovilizado en sobre-inventario fuera de temporada.</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Solución: </w:t>
      </w:r>
      <w:r>
        <w:rPr>
          <w:rFonts w:eastAsia="Calibri" w:cs="Calibri"/>
          <w:b w:val="false"/>
          <w:bCs w:val="false"/>
          <w:color w:val="000000"/>
          <w:sz w:val="22"/>
          <w:szCs w:val="22"/>
        </w:rPr>
        <w:t>Se desarrolló un Gemelo Digital estocástico que simula el comportamiento histórico del negocio (2022–2026) y entrena un modelo de Machine Learning para predecir la demanda de unidades por material, desplegado como dashboard prescriptivo en Power BI.</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Resultado: </w:t>
      </w:r>
      <w:r>
        <w:rPr>
          <w:rFonts w:eastAsia="Calibri" w:cs="Calibri"/>
          <w:b w:val="false"/>
          <w:bCs w:val="false"/>
          <w:color w:val="000000"/>
          <w:sz w:val="22"/>
          <w:szCs w:val="22"/>
        </w:rPr>
        <w:t xml:space="preserve">El modelo campeón — </w:t>
      </w:r>
      <w:r>
        <w:rPr>
          <w:rFonts w:eastAsia="Calibri" w:cs="Calibri"/>
          <w:b/>
          <w:bCs/>
          <w:color w:val="000000"/>
          <w:sz w:val="22"/>
          <w:szCs w:val="22"/>
        </w:rPr>
        <w:t>Light Gradient Boosting Machine (LGBMRegressor)</w:t>
      </w:r>
      <w:r>
        <w:rPr>
          <w:rFonts w:eastAsia="Calibri" w:cs="Calibri"/>
          <w:b w:val="false"/>
          <w:bCs w:val="false"/>
          <w:color w:val="000000"/>
          <w:sz w:val="22"/>
          <w:szCs w:val="22"/>
        </w:rPr>
        <w:t xml:space="preserve"> — predice la demanda con un error de ±5.53 unidades por transacción en datos nunca vistos (Carnaval 2026), liberando </w:t>
      </w:r>
      <w:r>
        <w:rPr>
          <w:rFonts w:eastAsia="Calibri" w:cs="Calibri"/>
          <w:b/>
          <w:bCs/>
          <w:color w:val="000000"/>
          <w:sz w:val="22"/>
          <w:szCs w:val="22"/>
        </w:rPr>
        <w:t>$181,495.83 MXN</w:t>
      </w:r>
      <w:r>
        <w:rPr>
          <w:rFonts w:eastAsia="Calibri" w:cs="Calibri"/>
          <w:b w:val="false"/>
          <w:bCs w:val="false"/>
          <w:color w:val="000000"/>
          <w:sz w:val="22"/>
          <w:szCs w:val="22"/>
        </w:rPr>
        <w:t xml:space="preserve"> en capital de trabajo previamente inmovilizado.</w:t>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140" w:type="dxa"/>
          <w:start w:w="120" w:type="dxa"/>
          <w:bottom w:w="140" w:type="dxa"/>
          <w:end w:w="120" w:type="dxa"/>
        </w:tblCellMar>
      </w:tblPr>
      <w:tblGrid>
        <w:gridCol w:w="2340"/>
        <w:gridCol w:w="2340"/>
        <w:gridCol w:w="2340"/>
        <w:gridCol w:w="2340"/>
      </w:tblGrid>
      <w:tr>
        <w:trPr/>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$181,496</w:t>
            </w:r>
          </w:p>
          <w:p>
            <w:pPr>
              <w:pStyle w:val="Normal"/>
              <w:widowControl/>
              <w:bidi w:val="0"/>
              <w:spacing w:lineRule="auto" w:line="240" w:before="0" w:after="0"/>
              <w:ind w:hanging="0" w:start="0" w:end="0"/>
              <w:jc w:val="both"/>
              <w:rPr/>
            </w:pPr>
            <w:r>
              <w:rPr>
                <w:rFonts w:eastAsia="Calibri" w:cs="Calibri"/>
                <w:color w:val="595959"/>
                <w:sz w:val="18"/>
                <w:szCs w:val="18"/>
              </w:rPr>
              <w:t>Capital liberado (MXN)</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±5.53 uds</w:t>
            </w:r>
          </w:p>
          <w:p>
            <w:pPr>
              <w:pStyle w:val="Normal"/>
              <w:widowControl/>
              <w:bidi w:val="0"/>
              <w:spacing w:lineRule="auto" w:line="240" w:before="0" w:after="0"/>
              <w:ind w:hanging="0" w:start="0" w:end="0"/>
              <w:jc w:val="both"/>
              <w:rPr/>
            </w:pPr>
            <w:r>
              <w:rPr>
                <w:rFonts w:eastAsia="Calibri" w:cs="Calibri"/>
                <w:color w:val="595959"/>
                <w:sz w:val="18"/>
                <w:szCs w:val="18"/>
              </w:rPr>
              <w:t>RMSE Blind Test OOT</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63.47%</w:t>
            </w:r>
          </w:p>
          <w:p>
            <w:pPr>
              <w:pStyle w:val="Normal"/>
              <w:widowControl/>
              <w:bidi w:val="0"/>
              <w:spacing w:lineRule="auto" w:line="240" w:before="0" w:after="0"/>
              <w:ind w:hanging="0" w:start="0" w:end="0"/>
              <w:jc w:val="both"/>
              <w:rPr/>
            </w:pPr>
            <w:r>
              <w:rPr>
                <w:rFonts w:eastAsia="Calibri" w:cs="Calibri"/>
                <w:color w:val="595959"/>
                <w:sz w:val="18"/>
                <w:szCs w:val="18"/>
              </w:rPr>
              <w:t>Mejor Tasa de Aciertos</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2,039 uds</w:t>
            </w:r>
          </w:p>
          <w:p>
            <w:pPr>
              <w:pStyle w:val="Normal"/>
              <w:widowControl/>
              <w:bidi w:val="0"/>
              <w:spacing w:lineRule="auto" w:line="240" w:before="0" w:after="0"/>
              <w:ind w:hanging="0" w:start="0" w:end="0"/>
              <w:jc w:val="both"/>
              <w:rPr/>
            </w:pPr>
            <w:r>
              <w:rPr>
                <w:rFonts w:eastAsia="Calibri" w:cs="Calibri"/>
                <w:color w:val="595959"/>
                <w:sz w:val="18"/>
                <w:szCs w:val="18"/>
              </w:rPr>
              <w:t>Sobre-stock evitado</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pPr>
      <w:r>
        <w:rPr>
          <w:rFonts w:eastAsia="Calibri" w:cs="Calibri"/>
          <w:b w:val="false"/>
          <w:bCs w:val="false"/>
          <w:color w:val="000000"/>
          <w:sz w:val="22"/>
          <w:szCs w:val="22"/>
        </w:rPr>
        <w:t xml:space="preserve">El proyecto cubre íntegramente la metodología </w:t>
      </w:r>
      <w:r>
        <w:rPr>
          <w:rFonts w:eastAsia="Calibri" w:cs="Calibri"/>
          <w:b/>
          <w:bCs/>
          <w:color w:val="000000"/>
          <w:sz w:val="22"/>
          <w:szCs w:val="22"/>
        </w:rPr>
        <w:t>CRISP-DM</w:t>
      </w:r>
      <w:r>
        <w:rPr>
          <w:rFonts w:eastAsia="Calibri" w:cs="Calibri"/>
          <w:b w:val="false"/>
          <w:bCs w:val="false"/>
          <w:color w:val="000000"/>
          <w:sz w:val="22"/>
          <w:szCs w:val="22"/>
        </w:rPr>
        <w:t xml:space="preserve"> (9 fases + 3 Anexos técnicos), incluyendo validación estadística formal (Welch's T-Test, Durbin-Watson, Breusch-Pagan), Backward Elimination automático, auditoría de Data Leakage y despliegue en producción.</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2. Definición del Problema de Negocio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2.1 Contexto Operativo</w:t>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t>Mercería Tommy es una PYME dedicada a la venta de insumos para confección de trajes de Carnaval en Tlaxcala. Su modelo de negocio presenta tres características críticas:</w:t>
      </w:r>
    </w:p>
    <w:p>
      <w:pPr>
        <w:pStyle w:val="ListParagraph"/>
        <w:widowControl/>
        <w:numPr>
          <w:ilvl w:val="0"/>
          <w:numId w:val="0"/>
        </w:numPr>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ListParagraph"/>
        <w:widowControl/>
        <w:numPr>
          <w:ilvl w:val="0"/>
          <w:numId w:val="1"/>
        </w:numPr>
        <w:bidi w:val="0"/>
        <w:spacing w:lineRule="auto" w:line="240" w:before="0" w:after="0"/>
        <w:jc w:val="both"/>
        <w:rPr/>
      </w:pPr>
      <w:r>
        <w:rPr>
          <w:rFonts w:eastAsia="Calibri" w:cs="Calibri"/>
          <w:b/>
          <w:bCs/>
          <w:color w:val="000000"/>
          <w:sz w:val="22"/>
          <w:szCs w:val="22"/>
        </w:rPr>
        <w:t xml:space="preserve">Estacionalidad extrema: </w:t>
      </w:r>
      <w:r>
        <w:rPr>
          <w:rFonts w:eastAsia="Calibri" w:cs="Calibri"/>
          <w:b w:val="false"/>
          <w:bCs w:val="false"/>
          <w:color w:val="000000"/>
          <w:sz w:val="22"/>
          <w:szCs w:val="22"/>
        </w:rPr>
        <w:t>enero-febrero concentra más del 330% de la demanda promedio anual. El resto del año la rotación cae a niveles mínimos.</w:t>
      </w:r>
    </w:p>
    <w:p>
      <w:pPr>
        <w:pStyle w:val="ListParagraph"/>
        <w:widowControl/>
        <w:numPr>
          <w:ilvl w:val="0"/>
          <w:numId w:val="1"/>
        </w:numPr>
        <w:bidi w:val="0"/>
        <w:spacing w:lineRule="auto" w:line="240" w:before="0" w:after="0"/>
        <w:jc w:val="both"/>
        <w:rPr/>
      </w:pPr>
      <w:r>
        <w:rPr>
          <w:rFonts w:eastAsia="Calibri" w:cs="Calibri"/>
          <w:b/>
          <w:bCs/>
          <w:color w:val="000000"/>
          <w:sz w:val="22"/>
          <w:szCs w:val="22"/>
        </w:rPr>
        <w:t xml:space="preserve">Ausencia de datos históricos estructurados: </w:t>
      </w:r>
      <w:r>
        <w:rPr>
          <w:rFonts w:eastAsia="Calibri" w:cs="Calibri"/>
          <w:b w:val="false"/>
          <w:bCs w:val="false"/>
          <w:color w:val="000000"/>
          <w:sz w:val="22"/>
          <w:szCs w:val="22"/>
        </w:rPr>
        <w:t>operación con libreta física y recibos. Sin registros digitales transaccionales.</w:t>
      </w:r>
    </w:p>
    <w:p>
      <w:pPr>
        <w:pStyle w:val="ListParagraph"/>
        <w:widowControl/>
        <w:numPr>
          <w:ilvl w:val="0"/>
          <w:numId w:val="1"/>
        </w:numPr>
        <w:bidi w:val="0"/>
        <w:spacing w:lineRule="auto" w:line="240" w:before="0" w:after="0"/>
        <w:jc w:val="both"/>
        <w:rPr/>
      </w:pPr>
      <w:r>
        <w:rPr>
          <w:rFonts w:eastAsia="Calibri" w:cs="Calibri"/>
          <w:b/>
          <w:bCs/>
          <w:color w:val="000000"/>
          <w:sz w:val="22"/>
          <w:szCs w:val="22"/>
        </w:rPr>
        <w:t xml:space="preserve">Política de compra reactiva: </w:t>
      </w:r>
      <w:r>
        <w:rPr>
          <w:rFonts w:eastAsia="Calibri" w:cs="Calibri"/>
          <w:b w:val="false"/>
          <w:bCs w:val="false"/>
          <w:color w:val="000000"/>
          <w:sz w:val="22"/>
          <w:szCs w:val="22"/>
        </w:rPr>
        <w:t>la dueña pide empíricamente un ~40% más del inventario estimado, generando sobre-stock sistemático fuera de temporada.</w:t>
      </w:r>
    </w:p>
    <w:p>
      <w:pPr>
        <w:pStyle w:val="ListParagraph"/>
        <w:widowControl/>
        <w:numPr>
          <w:ilvl w:val="0"/>
          <w:numId w:val="0"/>
        </w:numPr>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2.2 Problema Cuantificado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Síntoma</w:t>
            </w:r>
          </w:p>
        </w:tc>
        <w:tc>
          <w:tcPr>
            <w:tcW w:w="31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Causa Raíz</w:t>
            </w:r>
          </w:p>
        </w:tc>
        <w:tc>
          <w:tcPr>
            <w:tcW w:w="31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Impacto Financiero</w:t>
            </w:r>
          </w:p>
        </w:tc>
      </w:tr>
      <w:tr>
        <w:trPr/>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Quiebres de stock en Carnaval</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Compra insuficiente de materiales críticos</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Venta Perdida: $30,435+ unidades no atendidas</w:t>
            </w:r>
          </w:p>
        </w:tc>
      </w:tr>
      <w:tr>
        <w:trPr/>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Sobre-inventario fuera de temporada</w:t>
            </w:r>
          </w:p>
        </w:tc>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+40% de sobre-pedido empírico sin base cuantitativa</w:t>
            </w:r>
          </w:p>
        </w:tc>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Capital inmovilizado + Holding Cost 15% anual</w:t>
            </w:r>
          </w:p>
        </w:tc>
      </w:tr>
    </w:tbl>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2.3 Objetivos del Proyecto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ListParagraph"/>
        <w:widowControl/>
        <w:numPr>
          <w:ilvl w:val="0"/>
          <w:numId w:val="2"/>
        </w:numPr>
        <w:bidi w:val="0"/>
        <w:spacing w:lineRule="auto" w:line="240" w:before="0" w:after="0"/>
        <w:jc w:val="both"/>
        <w:rPr/>
      </w:pPr>
      <w:r>
        <w:rPr>
          <w:rFonts w:eastAsia="Calibri" w:cs="Calibri"/>
          <w:b/>
          <w:bCs/>
          <w:color w:val="000000"/>
          <w:sz w:val="22"/>
          <w:szCs w:val="22"/>
        </w:rPr>
        <w:t xml:space="preserve">Técnico: </w:t>
      </w:r>
      <w:r>
        <w:rPr>
          <w:rFonts w:eastAsia="Calibri" w:cs="Calibri"/>
          <w:b w:val="false"/>
          <w:bCs w:val="false"/>
          <w:color w:val="000000"/>
          <w:sz w:val="22"/>
          <w:szCs w:val="22"/>
        </w:rPr>
        <w:t>Desarrollar un modelo predictivo (RMSE mínimo) que estime la demanda de unidades por material para la temporada de Carnaval 2026.</w:t>
      </w:r>
    </w:p>
    <w:p>
      <w:pPr>
        <w:pStyle w:val="ListParagraph"/>
        <w:widowControl/>
        <w:numPr>
          <w:ilvl w:val="0"/>
          <w:numId w:val="2"/>
        </w:numPr>
        <w:bidi w:val="0"/>
        <w:spacing w:lineRule="auto" w:line="240" w:before="0" w:after="0"/>
        <w:jc w:val="both"/>
        <w:rPr/>
      </w:pPr>
      <w:r>
        <w:rPr>
          <w:rFonts w:eastAsia="Calibri" w:cs="Calibri"/>
          <w:b/>
          <w:bCs/>
          <w:color w:val="000000"/>
          <w:sz w:val="22"/>
          <w:szCs w:val="22"/>
        </w:rPr>
        <w:t xml:space="preserve">Operativo: </w:t>
      </w:r>
      <w:r>
        <w:rPr>
          <w:rFonts w:eastAsia="Calibri" w:cs="Calibri"/>
          <w:b w:val="false"/>
          <w:bCs w:val="false"/>
          <w:color w:val="000000"/>
          <w:sz w:val="22"/>
          <w:szCs w:val="22"/>
        </w:rPr>
        <w:t>Traducir las predicciones en una prescripción de compra accionable (cantidad, inversión, ganancia proyectada) mediante dashboard Power BI.</w:t>
      </w:r>
    </w:p>
    <w:p>
      <w:pPr>
        <w:pStyle w:val="ListParagraph"/>
        <w:widowControl/>
        <w:numPr>
          <w:ilvl w:val="0"/>
          <w:numId w:val="2"/>
        </w:numPr>
        <w:bidi w:val="0"/>
        <w:spacing w:lineRule="auto" w:line="240" w:before="0" w:after="0"/>
        <w:jc w:val="both"/>
        <w:rPr/>
      </w:pPr>
      <w:r>
        <w:rPr>
          <w:rFonts w:eastAsia="Calibri" w:cs="Calibri"/>
          <w:b/>
          <w:bCs/>
          <w:color w:val="000000"/>
          <w:sz w:val="22"/>
          <w:szCs w:val="22"/>
        </w:rPr>
        <w:t xml:space="preserve">Financiero: </w:t>
      </w:r>
      <w:r>
        <w:rPr>
          <w:rFonts w:eastAsia="Calibri" w:cs="Calibri"/>
          <w:b w:val="false"/>
          <w:bCs w:val="false"/>
          <w:color w:val="000000"/>
          <w:sz w:val="22"/>
          <w:szCs w:val="22"/>
        </w:rPr>
        <w:t>Demostrar ROI positivo respecto al 40% de sobre-pedido empírico actual.</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2.4 Alcance y Restricción Arquitectónica</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Gemelo Digital estocástico: </w:t>
      </w:r>
      <w:r>
        <w:rPr>
          <w:rFonts w:eastAsia="Calibri" w:cs="Calibri"/>
          <w:b w:val="false"/>
          <w:bCs w:val="false"/>
          <w:color w:val="000000"/>
          <w:sz w:val="22"/>
          <w:szCs w:val="22"/>
        </w:rPr>
        <w:t>Ante la ausencia de datos históricos digitales, se diseñó un motor de simulación con variabilidad probabilística controlada (semilla 42) que replica el comportamiento real del negocio incluyendo estacionalidad, restricciones de capital (35% de probabilidad de compra reducida) y quiebres de stock.</w:t>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Limitación reconocida: </w:t>
      </w:r>
      <w:r>
        <w:rPr>
          <w:rFonts w:eastAsia="Calibri" w:cs="Calibri"/>
          <w:b w:val="false"/>
          <w:bCs w:val="false"/>
          <w:color w:val="000000"/>
          <w:sz w:val="22"/>
          <w:szCs w:val="22"/>
        </w:rPr>
        <w:t>el Blind Test OOT usa el mismo motor estocástico (distinta semilla) que el training; las métricas pueden ser optimistas respecto a datos reales. El Anexo B documenta el roadmap de transición.</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rFonts w:ascii="Calibri" w:hAnsi="Calibri" w:eastAsia="Calibri" w:cs="Calibri"/>
          <w:b/>
          <w:bCs/>
          <w:color w:val="1A3A5C"/>
          <w:sz w:val="32"/>
          <w:szCs w:val="32"/>
        </w:rPr>
      </w:pPr>
      <w:r>
        <w:rPr>
          <w:rFonts w:eastAsia="Calibri" w:cs="Calibri"/>
          <w:b/>
          <w:bCs/>
          <w:color w:val="1A3A5C"/>
          <w:sz w:val="32"/>
          <w:szCs w:val="32"/>
        </w:rPr>
        <w:t>3. Metodología — CRISP-DM</w:t>
      </w:r>
    </w:p>
    <w:p>
      <w:pPr>
        <w:pStyle w:val="Heading1"/>
        <w:widowControl/>
        <w:pBdr>
          <w:bottom w:val="single" w:sz="8" w:space="4" w:color="2E75B6"/>
        </w:pBdr>
        <w:bidi w:val="0"/>
        <w:spacing w:lineRule="auto" w:line="240" w:before="0" w:after="0"/>
        <w:ind w:hanging="0" w:start="0" w:end="0"/>
        <w:jc w:val="both"/>
        <w:rPr>
          <w:rFonts w:ascii="Calibri" w:hAnsi="Calibri" w:eastAsia="Calibri" w:cs="Calibri"/>
          <w:b/>
          <w:bCs/>
          <w:color w:val="1A3A5C"/>
          <w:sz w:val="32"/>
          <w:szCs w:val="32"/>
        </w:rPr>
      </w:pPr>
      <w:r>
        <w:rPr>
          <w:rFonts w:eastAsia="Calibri" w:cs="Calibri"/>
          <w:b/>
          <w:bCs/>
          <w:color w:val="1A3A5C"/>
          <w:sz w:val="32"/>
          <w:szCs w:val="32"/>
        </w:rPr>
      </w:r>
    </w:p>
    <w:tbl>
      <w:tblPr>
        <w:tblW w:w="9360" w:type="dxa"/>
        <w:jc w:val="start"/>
        <w:tblInd w:w="0" w:type="dxa"/>
        <w:tblLayout w:type="fixed"/>
        <w:tblCellMar>
          <w:top w:w="80" w:type="dxa"/>
          <w:start w:w="120" w:type="dxa"/>
          <w:bottom w:w="80" w:type="dxa"/>
          <w:end w:w="120" w:type="dxa"/>
        </w:tblCellMar>
      </w:tblPr>
      <w:tblGrid>
        <w:gridCol w:w="1437"/>
        <w:gridCol w:w="2160"/>
        <w:gridCol w:w="4323"/>
        <w:gridCol w:w="1440"/>
      </w:tblGrid>
      <w:tr>
        <w:trPr/>
        <w:tc>
          <w:tcPr>
            <w:tcW w:w="143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Fase</w:t>
            </w:r>
          </w:p>
        </w:tc>
        <w:tc>
          <w:tcPr>
            <w:tcW w:w="216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Etapa CRISP-DM</w:t>
            </w:r>
          </w:p>
        </w:tc>
        <w:tc>
          <w:tcPr>
            <w:tcW w:w="432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Entregable</w:t>
            </w:r>
          </w:p>
        </w:tc>
        <w:tc>
          <w:tcPr>
            <w:tcW w:w="144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Estado</w:t>
            </w:r>
          </w:p>
        </w:tc>
      </w:tr>
      <w:tr>
        <w:trPr/>
        <w:tc>
          <w:tcPr>
            <w:tcW w:w="143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1–2</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Entendimiento del Negocio y Datos</w:t>
            </w:r>
          </w:p>
        </w:tc>
        <w:tc>
          <w:tcPr>
            <w:tcW w:w="432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Catálogo Maestro (7,735 SKUs) + Motor Estocástico + Dataset 113,800 transacciones</w:t>
            </w:r>
          </w:p>
        </w:tc>
        <w:tc>
          <w:tcPr>
            <w:tcW w:w="144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 xml:space="preserve">✅ </w:t>
            </w:r>
            <w:r>
              <w:rPr>
                <w:rFonts w:eastAsia="Calibri" w:cs="Calibri"/>
                <w:b/>
                <w:bCs/>
                <w:color w:val="1E6B3C"/>
                <w:sz w:val="20"/>
                <w:szCs w:val="20"/>
              </w:rPr>
              <w:t>100%</w:t>
            </w:r>
          </w:p>
        </w:tc>
      </w:tr>
      <w:tr>
        <w:trPr/>
        <w:tc>
          <w:tcPr>
            <w:tcW w:w="143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Preparación de Datos</w:t>
            </w:r>
          </w:p>
        </w:tc>
        <w:tc>
          <w:tcPr>
            <w:tcW w:w="432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Feature Engineering temporal + Master Merge + bifurcación Power BI / ML</w:t>
            </w:r>
          </w:p>
        </w:tc>
        <w:tc>
          <w:tcPr>
            <w:tcW w:w="144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 xml:space="preserve">✅ </w:t>
            </w:r>
            <w:r>
              <w:rPr>
                <w:rFonts w:eastAsia="Calibri" w:cs="Calibri"/>
                <w:b/>
                <w:bCs/>
                <w:color w:val="1E6B3C"/>
                <w:sz w:val="20"/>
                <w:szCs w:val="20"/>
              </w:rPr>
              <w:t>100%</w:t>
            </w:r>
          </w:p>
        </w:tc>
      </w:tr>
      <w:tr>
        <w:trPr/>
        <w:tc>
          <w:tcPr>
            <w:tcW w:w="143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4</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Análisis Exploratorio</w:t>
            </w:r>
          </w:p>
        </w:tc>
        <w:tc>
          <w:tcPr>
            <w:tcW w:w="432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Sweetviz, YData-Profiling, Welch's T-Test, correlaciones, KPIs de negocio</w:t>
            </w:r>
          </w:p>
        </w:tc>
        <w:tc>
          <w:tcPr>
            <w:tcW w:w="144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 xml:space="preserve">✅ </w:t>
            </w:r>
            <w:r>
              <w:rPr>
                <w:rFonts w:eastAsia="Calibri" w:cs="Calibri"/>
                <w:b/>
                <w:bCs/>
                <w:color w:val="1E6B3C"/>
                <w:sz w:val="20"/>
                <w:szCs w:val="20"/>
              </w:rPr>
              <w:t>100%</w:t>
            </w:r>
          </w:p>
        </w:tc>
      </w:tr>
      <w:tr>
        <w:trPr/>
        <w:tc>
          <w:tcPr>
            <w:tcW w:w="143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Modelado Predictivo</w:t>
            </w:r>
          </w:p>
        </w:tc>
        <w:tc>
          <w:tcPr>
            <w:tcW w:w="432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Regresión Simple, Múltiple (Backward Elimination), AutoML PyCaret — LGBMRegressor</w:t>
            </w:r>
          </w:p>
        </w:tc>
        <w:tc>
          <w:tcPr>
            <w:tcW w:w="144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 xml:space="preserve">✅ </w:t>
            </w:r>
            <w:r>
              <w:rPr>
                <w:rFonts w:eastAsia="Calibri" w:cs="Calibri"/>
                <w:b/>
                <w:bCs/>
                <w:color w:val="1E6B3C"/>
                <w:sz w:val="20"/>
                <w:szCs w:val="20"/>
              </w:rPr>
              <w:t>100%</w:t>
            </w:r>
          </w:p>
        </w:tc>
      </w:tr>
      <w:tr>
        <w:trPr/>
        <w:tc>
          <w:tcPr>
            <w:tcW w:w="143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6</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Evaluación</w:t>
            </w:r>
          </w:p>
        </w:tc>
        <w:tc>
          <w:tcPr>
            <w:tcW w:w="432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5-Fold CV, Blind Test OOT Carnaval 2026, Análisis de Sensibilidad ROI (8 escenarios)</w:t>
            </w:r>
          </w:p>
        </w:tc>
        <w:tc>
          <w:tcPr>
            <w:tcW w:w="144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 xml:space="preserve">✅ </w:t>
            </w:r>
            <w:r>
              <w:rPr>
                <w:rFonts w:eastAsia="Calibri" w:cs="Calibri"/>
                <w:b/>
                <w:bCs/>
                <w:color w:val="1E6B3C"/>
                <w:sz w:val="20"/>
                <w:szCs w:val="20"/>
              </w:rPr>
              <w:t>100%</w:t>
            </w:r>
          </w:p>
        </w:tc>
      </w:tr>
      <w:tr>
        <w:trPr/>
        <w:tc>
          <w:tcPr>
            <w:tcW w:w="143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7</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Despliegue</w:t>
            </w:r>
          </w:p>
        </w:tc>
        <w:tc>
          <w:tcPr>
            <w:tcW w:w="432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Exportación .pkl + integración Python–Power BI + Dashboard Prescriptivo (3 páginas)</w:t>
            </w:r>
          </w:p>
        </w:tc>
        <w:tc>
          <w:tcPr>
            <w:tcW w:w="144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 xml:space="preserve">✅ </w:t>
            </w:r>
            <w:r>
              <w:rPr>
                <w:rFonts w:eastAsia="Calibri" w:cs="Calibri"/>
                <w:b/>
                <w:bCs/>
                <w:color w:val="1E6B3C"/>
                <w:sz w:val="20"/>
                <w:szCs w:val="20"/>
              </w:rPr>
              <w:t>100%</w:t>
            </w:r>
          </w:p>
        </w:tc>
      </w:tr>
    </w:tbl>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4. Gemelo Digital — Generación de Datos Sintéticos</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4.1 Catálogo Maestro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tbl>
      <w:tblPr>
        <w:tblW w:w="9360" w:type="dxa"/>
        <w:jc w:val="start"/>
        <w:tblInd w:w="0" w:type="dxa"/>
        <w:tblLayout w:type="fixed"/>
        <w:tblCellMar>
          <w:top w:w="140" w:type="dxa"/>
          <w:start w:w="120" w:type="dxa"/>
          <w:bottom w:w="140" w:type="dxa"/>
          <w:end w:w="120" w:type="dxa"/>
        </w:tblCellMar>
      </w:tblPr>
      <w:tblGrid>
        <w:gridCol w:w="2340"/>
        <w:gridCol w:w="2340"/>
        <w:gridCol w:w="2340"/>
        <w:gridCol w:w="2340"/>
      </w:tblGrid>
      <w:tr>
        <w:trPr/>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7,735</w:t>
            </w:r>
          </w:p>
          <w:p>
            <w:pPr>
              <w:pStyle w:val="Normal"/>
              <w:widowControl/>
              <w:bidi w:val="0"/>
              <w:spacing w:lineRule="auto" w:line="240" w:before="0" w:after="0"/>
              <w:ind w:hanging="0" w:start="0" w:end="0"/>
              <w:jc w:val="both"/>
              <w:rPr/>
            </w:pPr>
            <w:r>
              <w:rPr>
                <w:rFonts w:eastAsia="Calibri" w:cs="Calibri"/>
                <w:color w:val="595959"/>
                <w:sz w:val="18"/>
                <w:szCs w:val="18"/>
              </w:rPr>
              <w:t>SKUs únicos generados</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113,800</w:t>
            </w:r>
          </w:p>
          <w:p>
            <w:pPr>
              <w:pStyle w:val="Normal"/>
              <w:widowControl/>
              <w:bidi w:val="0"/>
              <w:spacing w:lineRule="auto" w:line="240" w:before="0" w:after="0"/>
              <w:ind w:hanging="0" w:start="0" w:end="0"/>
              <w:jc w:val="both"/>
              <w:rPr/>
            </w:pPr>
            <w:r>
              <w:rPr>
                <w:rFonts w:eastAsia="Calibri" w:cs="Calibri"/>
                <w:color w:val="595959"/>
                <w:sz w:val="18"/>
                <w:szCs w:val="18"/>
              </w:rPr>
              <w:t>Transacciones simuladas</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24</w:t>
            </w:r>
          </w:p>
          <w:p>
            <w:pPr>
              <w:pStyle w:val="Normal"/>
              <w:widowControl/>
              <w:bidi w:val="0"/>
              <w:spacing w:lineRule="auto" w:line="240" w:before="0" w:after="0"/>
              <w:ind w:hanging="0" w:start="0" w:end="0"/>
              <w:jc w:val="both"/>
              <w:rPr/>
            </w:pPr>
            <w:r>
              <w:rPr>
                <w:rFonts w:eastAsia="Calibri" w:cs="Calibri"/>
                <w:color w:val="595959"/>
                <w:sz w:val="18"/>
                <w:szCs w:val="18"/>
              </w:rPr>
              <w:t>Variables por registro</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2022–2026</w:t>
            </w:r>
          </w:p>
          <w:p>
            <w:pPr>
              <w:pStyle w:val="Normal"/>
              <w:widowControl/>
              <w:bidi w:val="0"/>
              <w:spacing w:lineRule="auto" w:line="240" w:before="0" w:after="0"/>
              <w:ind w:hanging="0" w:start="0" w:end="0"/>
              <w:jc w:val="both"/>
              <w:rPr/>
            </w:pPr>
            <w:r>
              <w:rPr>
                <w:rFonts w:eastAsia="Calibri" w:cs="Calibri"/>
                <w:color w:val="595959"/>
                <w:sz w:val="18"/>
                <w:szCs w:val="18"/>
              </w:rPr>
              <w:t>Cobertura temporal</w:t>
            </w:r>
          </w:p>
        </w:tc>
      </w:tr>
    </w:tbl>
    <w:p>
      <w:pPr>
        <w:pStyle w:val="Normal"/>
        <w:widowControl/>
        <w:bidi w:val="0"/>
        <w:spacing w:lineRule="auto" w:line="240" w:before="0" w:after="0"/>
        <w:ind w:hanging="0" w:start="0" w:end="0"/>
        <w:jc w:val="both"/>
        <w:rPr/>
      </w:pPr>
      <w:r>
        <w:rPr/>
      </w:r>
    </w:p>
    <w:p>
      <w:pPr>
        <w:pStyle w:val="ListParagraph"/>
        <w:widowControl/>
        <w:numPr>
          <w:ilvl w:val="0"/>
          <w:numId w:val="3"/>
        </w:numPr>
        <w:bidi w:val="0"/>
        <w:spacing w:lineRule="auto" w:line="240" w:before="0" w:after="0"/>
        <w:jc w:val="both"/>
        <w:rPr/>
      </w:pPr>
      <w:r>
        <w:rPr>
          <w:rFonts w:eastAsia="Calibri" w:cs="Calibri"/>
          <w:b/>
          <w:bCs/>
          <w:color w:val="000000"/>
          <w:sz w:val="22"/>
          <w:szCs w:val="22"/>
        </w:rPr>
        <w:t xml:space="preserve">Jerarquía de producto: </w:t>
      </w:r>
      <w:r>
        <w:rPr>
          <w:rFonts w:eastAsia="Calibri" w:cs="Calibri"/>
          <w:b w:val="false"/>
          <w:bCs w:val="false"/>
          <w:color w:val="000000"/>
          <w:sz w:val="22"/>
          <w:szCs w:val="22"/>
        </w:rPr>
        <w:t>Macro_Familia → Material → Color → Presentación → SKU.</w:t>
      </w:r>
    </w:p>
    <w:p>
      <w:pPr>
        <w:pStyle w:val="ListParagraph"/>
        <w:widowControl/>
        <w:numPr>
          <w:ilvl w:val="0"/>
          <w:numId w:val="3"/>
        </w:numPr>
        <w:bidi w:val="0"/>
        <w:spacing w:lineRule="auto" w:line="240" w:before="0" w:after="0"/>
        <w:jc w:val="both"/>
        <w:rPr/>
      </w:pPr>
      <w:r>
        <w:rPr>
          <w:rFonts w:eastAsia="Calibri" w:cs="Calibri"/>
          <w:b/>
          <w:bCs/>
          <w:color w:val="000000"/>
          <w:sz w:val="22"/>
          <w:szCs w:val="22"/>
        </w:rPr>
        <w:t xml:space="preserve">7 Macro-Familias: </w:t>
      </w:r>
      <w:r>
        <w:rPr>
          <w:rFonts w:eastAsia="Calibri" w:cs="Calibri"/>
          <w:b w:val="false"/>
          <w:bCs w:val="false"/>
          <w:color w:val="000000"/>
          <w:sz w:val="22"/>
          <w:szCs w:val="22"/>
        </w:rPr>
        <w:t>Pedrería y Aplicaciones, Lentejuela, Terciopelo, Chaquira y Canutillo, Cascabeles, Peyón, Básicos.</w:t>
      </w:r>
    </w:p>
    <w:p>
      <w:pPr>
        <w:pStyle w:val="ListParagraph"/>
        <w:widowControl/>
        <w:numPr>
          <w:ilvl w:val="0"/>
          <w:numId w:val="3"/>
        </w:numPr>
        <w:bidi w:val="0"/>
        <w:spacing w:lineRule="auto" w:line="240" w:before="0" w:after="0"/>
        <w:jc w:val="both"/>
        <w:rPr/>
      </w:pPr>
      <w:r>
        <w:rPr>
          <w:rFonts w:eastAsia="Calibri" w:cs="Calibri"/>
          <w:b/>
          <w:bCs/>
          <w:color w:val="000000"/>
          <w:sz w:val="22"/>
          <w:szCs w:val="22"/>
        </w:rPr>
        <w:t xml:space="preserve">55 gamas de color </w:t>
      </w:r>
      <w:r>
        <w:rPr>
          <w:rFonts w:eastAsia="Calibri" w:cs="Calibri"/>
          <w:b w:val="false"/>
          <w:bCs w:val="false"/>
          <w:color w:val="000000"/>
          <w:sz w:val="22"/>
          <w:szCs w:val="22"/>
        </w:rPr>
        <w:t>con código hexadecimal y agrupación en 4 Tipos: Primarios, Secundarios, Neutros, Especiales.</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pPr>
      <w:r>
        <w:rPr>
          <w:rFonts w:eastAsia="Calibri" w:cs="Calibri"/>
          <w:b/>
          <w:bCs/>
          <w:color w:val="2E75B6"/>
          <w:sz w:val="26"/>
          <w:szCs w:val="26"/>
        </w:rPr>
        <w:t>4.2 Reglas de Negocio Simuladas en el Motor Estocástico</w:t>
      </w:r>
    </w:p>
    <w:p>
      <w:pPr>
        <w:pStyle w:val="ListParagraph"/>
        <w:widowControl/>
        <w:numPr>
          <w:ilvl w:val="0"/>
          <w:numId w:val="4"/>
        </w:numPr>
        <w:bidi w:val="0"/>
        <w:spacing w:lineRule="auto" w:line="240" w:before="0" w:after="0"/>
        <w:jc w:val="both"/>
        <w:rPr/>
      </w:pPr>
      <w:r>
        <w:rPr>
          <w:rFonts w:eastAsia="Calibri" w:cs="Calibri"/>
          <w:b/>
          <w:bCs/>
          <w:color w:val="000000"/>
          <w:sz w:val="22"/>
          <w:szCs w:val="22"/>
        </w:rPr>
        <w:t xml:space="preserve">Estacionalidad Carnaval: </w:t>
      </w:r>
      <w:r>
        <w:rPr>
          <w:rFonts w:eastAsia="Calibri" w:cs="Calibri"/>
          <w:b w:val="false"/>
          <w:bCs w:val="false"/>
          <w:color w:val="000000"/>
          <w:sz w:val="22"/>
          <w:szCs w:val="22"/>
        </w:rPr>
        <w:t>pesos probabilísticos elevados en enero–febrero con pico de demanda 4.32× respecto al resto del año.</w:t>
      </w:r>
    </w:p>
    <w:p>
      <w:pPr>
        <w:pStyle w:val="ListParagraph"/>
        <w:widowControl/>
        <w:numPr>
          <w:ilvl w:val="0"/>
          <w:numId w:val="4"/>
        </w:numPr>
        <w:bidi w:val="0"/>
        <w:spacing w:lineRule="auto" w:line="240" w:before="0" w:after="0"/>
        <w:jc w:val="both"/>
        <w:rPr/>
      </w:pPr>
      <w:r>
        <w:rPr>
          <w:rFonts w:eastAsia="Calibri" w:cs="Calibri"/>
          <w:b/>
          <w:bCs/>
          <w:color w:val="000000"/>
          <w:sz w:val="22"/>
          <w:szCs w:val="22"/>
        </w:rPr>
        <w:t xml:space="preserve">Restricción de capital: </w:t>
      </w:r>
      <w:r>
        <w:rPr>
          <w:rFonts w:eastAsia="Calibri" w:cs="Calibri"/>
          <w:b w:val="false"/>
          <w:bCs w:val="false"/>
          <w:color w:val="000000"/>
          <w:sz w:val="22"/>
          <w:szCs w:val="22"/>
        </w:rPr>
        <w:t>35% de probabilidad de compra reducida por falta de liquidez del negocio — comportamiento real de PYME.</w:t>
      </w:r>
    </w:p>
    <w:p>
      <w:pPr>
        <w:pStyle w:val="ListParagraph"/>
        <w:widowControl/>
        <w:numPr>
          <w:ilvl w:val="0"/>
          <w:numId w:val="4"/>
        </w:numPr>
        <w:bidi w:val="0"/>
        <w:spacing w:lineRule="auto" w:line="240" w:before="0" w:after="0"/>
        <w:jc w:val="both"/>
        <w:rPr/>
      </w:pPr>
      <w:r>
        <w:rPr>
          <w:rFonts w:eastAsia="Calibri" w:cs="Calibri"/>
          <w:b/>
          <w:bCs/>
          <w:color w:val="000000"/>
          <w:sz w:val="22"/>
          <w:szCs w:val="22"/>
        </w:rPr>
        <w:t xml:space="preserve">Lead Time variable: </w:t>
      </w:r>
      <w:r>
        <w:rPr>
          <w:rFonts w:eastAsia="Calibri" w:cs="Calibri"/>
          <w:b w:val="false"/>
          <w:bCs w:val="false"/>
          <w:color w:val="000000"/>
          <w:sz w:val="22"/>
          <w:szCs w:val="22"/>
        </w:rPr>
        <w:t>3–8 días hábiles por proveedor con distribución aleatoria (simulado como Lead_Time_Dias).</w:t>
      </w:r>
    </w:p>
    <w:p>
      <w:pPr>
        <w:pStyle w:val="ListParagraph"/>
        <w:widowControl/>
        <w:numPr>
          <w:ilvl w:val="0"/>
          <w:numId w:val="4"/>
        </w:numPr>
        <w:bidi w:val="0"/>
        <w:spacing w:lineRule="auto" w:line="240" w:before="0" w:after="0"/>
        <w:jc w:val="both"/>
        <w:rPr/>
      </w:pPr>
      <w:r>
        <w:rPr>
          <w:rFonts w:eastAsia="Calibri" w:cs="Calibri"/>
          <w:b/>
          <w:bCs/>
          <w:color w:val="000000"/>
          <w:sz w:val="22"/>
          <w:szCs w:val="22"/>
        </w:rPr>
        <w:t xml:space="preserve">Venta Perdida: </w:t>
      </w:r>
      <w:r>
        <w:rPr>
          <w:rFonts w:eastAsia="Calibri" w:cs="Calibri"/>
          <w:b w:val="false"/>
          <w:bCs w:val="false"/>
          <w:color w:val="000000"/>
          <w:sz w:val="22"/>
          <w:szCs w:val="22"/>
        </w:rPr>
        <w:t xml:space="preserve">quiebres de stock registrados como costo de oportunidad medible — variable de control que </w:t>
      </w:r>
      <w:r>
        <w:rPr>
          <w:rFonts w:eastAsia="Calibri" w:cs="Calibri"/>
          <w:b/>
          <w:bCs/>
          <w:color w:val="000000"/>
          <w:sz w:val="22"/>
          <w:szCs w:val="22"/>
        </w:rPr>
        <w:t>NO</w:t>
      </w:r>
      <w:r>
        <w:rPr>
          <w:rFonts w:eastAsia="Calibri" w:cs="Calibri"/>
          <w:b w:val="false"/>
          <w:bCs w:val="false"/>
          <w:color w:val="000000"/>
          <w:sz w:val="22"/>
          <w:szCs w:val="22"/>
        </w:rPr>
        <w:t xml:space="preserve"> entra al modelo.</w:t>
      </w:r>
    </w:p>
    <w:p>
      <w:pPr>
        <w:pStyle w:val="ListParagraph"/>
        <w:widowControl/>
        <w:numPr>
          <w:ilvl w:val="0"/>
          <w:numId w:val="4"/>
        </w:numPr>
        <w:bidi w:val="0"/>
        <w:spacing w:lineRule="auto" w:line="240" w:before="0" w:after="0"/>
        <w:jc w:val="both"/>
        <w:rPr/>
      </w:pPr>
      <w:r>
        <w:rPr>
          <w:rFonts w:eastAsia="Calibri" w:cs="Calibri"/>
          <w:b/>
          <w:bCs/>
          <w:color w:val="000000"/>
          <w:sz w:val="22"/>
          <w:szCs w:val="22"/>
        </w:rPr>
        <w:t xml:space="preserve">Semilla maestra = 42: </w:t>
      </w:r>
      <w:r>
        <w:rPr>
          <w:rFonts w:eastAsia="Calibri" w:cs="Calibri"/>
          <w:b w:val="false"/>
          <w:bCs w:val="false"/>
          <w:color w:val="000000"/>
          <w:sz w:val="22"/>
          <w:szCs w:val="22"/>
        </w:rPr>
        <w:t>garantiza reproducibilidad total. El OOT usa semilla distinta para independencia estadística.</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5. Análisis Exploratorio de Datos (EDA)</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5.1 Validación Estadística de la Estacionalidad — Welch's T-Test</w:t>
      </w:r>
    </w:p>
    <w:p>
      <w:pPr>
        <w:pStyle w:val="Normal"/>
        <w:widowControl/>
        <w:bidi w:val="0"/>
        <w:spacing w:lineRule="auto" w:line="240" w:before="0" w:after="0"/>
        <w:ind w:hanging="0" w:start="0" w:end="0"/>
        <w:jc w:val="both"/>
        <w:rPr/>
      </w:pPr>
      <w:r>
        <w:rPr>
          <w:rFonts w:eastAsia="Calibri" w:cs="Calibri"/>
          <w:b w:val="false"/>
          <w:bCs w:val="false"/>
          <w:color w:val="000000"/>
          <w:sz w:val="22"/>
          <w:szCs w:val="22"/>
        </w:rPr>
        <w:t>Para confirmar matemáticamente que el Gemelo Digital replicó el efecto Carnaval, se aplicó la prueba de Welch's T-Test (varianzas desiguales):</w:t>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80" w:type="dxa"/>
          <w:start w:w="120" w:type="dxa"/>
          <w:bottom w:w="80" w:type="dxa"/>
          <w:end w:w="120" w:type="dxa"/>
        </w:tblCellMar>
      </w:tblPr>
      <w:tblGrid>
        <w:gridCol w:w="2640"/>
        <w:gridCol w:w="2157"/>
        <w:gridCol w:w="2163"/>
        <w:gridCol w:w="2400"/>
      </w:tblGrid>
      <w:tr>
        <w:trPr/>
        <w:tc>
          <w:tcPr>
            <w:tcW w:w="264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Métrica</w:t>
            </w:r>
          </w:p>
        </w:tc>
        <w:tc>
          <w:tcPr>
            <w:tcW w:w="215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Temporada Carnaval</w:t>
            </w:r>
          </w:p>
        </w:tc>
        <w:tc>
          <w:tcPr>
            <w:tcW w:w="216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Resto del Año</w:t>
            </w:r>
          </w:p>
        </w:tc>
        <w:tc>
          <w:tcPr>
            <w:tcW w:w="240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Conclusión</w:t>
            </w:r>
          </w:p>
        </w:tc>
      </w:tr>
      <w:tr>
        <w:trPr/>
        <w:tc>
          <w:tcPr>
            <w:tcW w:w="264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Media de unidades/día</w:t>
            </w:r>
          </w:p>
        </w:tc>
        <w:tc>
          <w:tcPr>
            <w:tcW w:w="215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766.76</w:t>
            </w:r>
          </w:p>
        </w:tc>
        <w:tc>
          <w:tcPr>
            <w:tcW w:w="216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177.52</w:t>
            </w:r>
          </w:p>
        </w:tc>
        <w:tc>
          <w:tcPr>
            <w:tcW w:w="24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4.32× mayor</w:t>
            </w:r>
          </w:p>
        </w:tc>
      </w:tr>
      <w:tr>
        <w:trPr/>
        <w:tc>
          <w:tcPr>
            <w:tcW w:w="264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Estadístico T</w:t>
            </w:r>
          </w:p>
        </w:tc>
        <w:tc>
          <w:tcPr>
            <w:tcW w:w="215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17.3036</w:t>
            </w:r>
          </w:p>
        </w:tc>
        <w:tc>
          <w:tcPr>
            <w:tcW w:w="216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w:t>
            </w:r>
          </w:p>
        </w:tc>
        <w:tc>
          <w:tcPr>
            <w:tcW w:w="24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Diferencia altamente significativa</w:t>
            </w:r>
          </w:p>
        </w:tc>
      </w:tr>
      <w:tr>
        <w:trPr/>
        <w:tc>
          <w:tcPr>
            <w:tcW w:w="264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P-Valor</w:t>
            </w:r>
          </w:p>
        </w:tc>
        <w:tc>
          <w:tcPr>
            <w:tcW w:w="215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6.50 × 10⁻⁴²</w:t>
            </w:r>
          </w:p>
        </w:tc>
        <w:tc>
          <w:tcPr>
            <w:tcW w:w="216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w:t>
            </w:r>
          </w:p>
        </w:tc>
        <w:tc>
          <w:tcPr>
            <w:tcW w:w="24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Rechazamos H₀ — Estacionalidad validada</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Interpretación: </w:t>
      </w:r>
      <w:r>
        <w:rPr>
          <w:rFonts w:eastAsia="Calibri" w:cs="Calibri"/>
          <w:b w:val="false"/>
          <w:bCs w:val="false"/>
          <w:color w:val="000000"/>
          <w:sz w:val="22"/>
          <w:szCs w:val="22"/>
        </w:rPr>
        <w:t>la probabilidad de que esta diferencia sea producto del azar es de 1 en 10⁴². El Gemelo Digital replicó exitosamente el comportamiento estacional de Mercería Tommy.</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5.2 Herramientas EDA Aplicadas</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tbl>
      <w:tblPr>
        <w:tblW w:w="9360" w:type="dxa"/>
        <w:jc w:val="start"/>
        <w:tblInd w:w="0" w:type="dxa"/>
        <w:tblLayout w:type="fixed"/>
        <w:tblCellMar>
          <w:top w:w="80" w:type="dxa"/>
          <w:start w:w="120" w:type="dxa"/>
          <w:bottom w:w="80" w:type="dxa"/>
          <w:end w:w="120" w:type="dxa"/>
        </w:tblCellMar>
      </w:tblPr>
      <w:tblGrid>
        <w:gridCol w:w="2160"/>
        <w:gridCol w:w="3600"/>
        <w:gridCol w:w="3600"/>
      </w:tblGrid>
      <w:tr>
        <w:trPr/>
        <w:tc>
          <w:tcPr>
            <w:tcW w:w="216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Herramienta</w:t>
            </w:r>
          </w:p>
        </w:tc>
        <w:tc>
          <w:tcPr>
            <w:tcW w:w="360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Propósito</w:t>
            </w:r>
          </w:p>
        </w:tc>
        <w:tc>
          <w:tcPr>
            <w:tcW w:w="360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Hallazgo Clave</w:t>
            </w:r>
          </w:p>
        </w:tc>
      </w:tr>
      <w:tr>
        <w:trPr/>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Sweetviz</w:t>
            </w:r>
          </w:p>
        </w:tc>
        <w:tc>
          <w:tcPr>
            <w:tcW w:w="36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Auto-EDA comparativo: Carnaval vs. Resto del año</w:t>
            </w:r>
          </w:p>
        </w:tc>
        <w:tc>
          <w:tcPr>
            <w:tcW w:w="36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Distribuciones de demanda estadísticamente distintas</w:t>
            </w:r>
          </w:p>
        </w:tc>
      </w:tr>
      <w:tr>
        <w:trPr/>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YData-Profiling</w:t>
            </w:r>
          </w:p>
        </w:tc>
        <w:tc>
          <w:tcPr>
            <w:tcW w:w="36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Perfilamiento completo de 24 variables del Dataset Maestro</w:t>
            </w:r>
          </w:p>
        </w:tc>
        <w:tc>
          <w:tcPr>
            <w:tcW w:w="36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 valores nulos; 30,435 NaN en Diferencia_vs_Lista (quiebres de stock — natural)</w:t>
            </w:r>
          </w:p>
        </w:tc>
      </w:tr>
      <w:tr>
        <w:trPr/>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Seaborn / Matplotlib</w:t>
            </w:r>
          </w:p>
        </w:tc>
        <w:tc>
          <w:tcPr>
            <w:tcW w:w="36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Matriz de correlación + diagramas de dispersión predictores vs. objetivo</w:t>
            </w:r>
          </w:p>
        </w:tc>
        <w:tc>
          <w:tcPr>
            <w:tcW w:w="36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Correlación moderada Precio→Cant; impacto estacional visible en Mes</w:t>
            </w:r>
          </w:p>
        </w:tc>
      </w:tr>
      <w:tr>
        <w:trPr/>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Plotly</w:t>
            </w:r>
          </w:p>
        </w:tc>
        <w:tc>
          <w:tcPr>
            <w:tcW w:w="36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KPIs interactivos: ingresos, venta perdida, márgenes por familia y color</w:t>
            </w:r>
          </w:p>
        </w:tc>
        <w:tc>
          <w:tcPr>
            <w:tcW w:w="36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El sunburst de Ingresos por Colores Cromáticos revela que la familia Rojo generó $749,940.86 MXN dentro de la categoría Primarios (44% del ingreso total por gama), mientras los colores Secundarios —Rosa, Morado, Verde y Naranja— concentran el 56% restante. El análisis de serie de tiempo identifica el 14 de enero de 2025 como el pico máximo de ingreso diario de todo el periodo: $326,331 MXN en un solo día, confirmando que la primera quincena de enero es el arranque crítico de la temporada de Carnaval.</w:t>
            </w:r>
          </w:p>
        </w:tc>
      </w:tr>
    </w:tbl>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6. Modelado Predictivo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6.1 Preparación del Dataset para ML</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Parámetro</w:t>
            </w:r>
          </w:p>
        </w:tc>
        <w:tc>
          <w:tcPr>
            <w:tcW w:w="31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Valor</w:t>
            </w:r>
          </w:p>
        </w:tc>
        <w:tc>
          <w:tcPr>
            <w:tcW w:w="31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Justificación</w:t>
            </w:r>
          </w:p>
        </w:tc>
      </w:tr>
      <w:tr>
        <w:trPr/>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Train Set</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66,692 transacciones (80%)</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Aprendizaje de patrones históricos 2022-2025</w:t>
            </w:r>
          </w:p>
        </w:tc>
      </w:tr>
      <w:tr>
        <w:trPr/>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Test Set (interno)</w:t>
            </w:r>
          </w:p>
        </w:tc>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16,673 transacciones (20%)</w:t>
            </w:r>
          </w:p>
        </w:tc>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Evaluación durante desarrollo del modelo</w:t>
            </w:r>
          </w:p>
        </w:tc>
      </w:tr>
      <w:tr>
        <w:trPr/>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Blind Test OOT</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2,097 transacciones</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Carnaval 2026 — datos nunca vistos por el modelo</w:t>
            </w:r>
          </w:p>
        </w:tc>
      </w:tr>
      <w:tr>
        <w:trPr/>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Variable objetivo</w:t>
            </w:r>
          </w:p>
        </w:tc>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Cant (cantidad de unidades)</w:t>
            </w:r>
          </w:p>
        </w:tc>
        <w:tc>
          <w:tcPr>
            <w:tcW w:w="31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Núcleo del proyecto: demanda a predecir</w:t>
            </w:r>
          </w:p>
        </w:tc>
      </w:tr>
      <w:tr>
        <w:trPr/>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Outliers removidos</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3,335 (5%)</w:t>
            </w:r>
          </w:p>
        </w:tc>
        <w:tc>
          <w:tcPr>
            <w:tcW w:w="31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Purga automática de PyCaret — Robust Scaler</w:t>
            </w:r>
          </w:p>
        </w:tc>
      </w:tr>
    </w:tbl>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pPr>
      <w:r>
        <w:rPr>
          <w:rFonts w:eastAsia="Calibri" w:cs="Calibri"/>
          <w:b/>
          <w:bCs/>
          <w:color w:val="2E75B6"/>
          <w:sz w:val="26"/>
          <w:szCs w:val="26"/>
        </w:rPr>
        <w:t>6.2 Regresión Lineal Simple — Baseline</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Ecuación resultante: </w:t>
      </w:r>
      <w:r>
        <w:rPr>
          <w:rFonts w:eastAsia="Calibri" w:cs="Calibri"/>
          <w:b w:val="false"/>
          <w:bCs w:val="false"/>
          <w:color w:val="595959"/>
          <w:sz w:val="22"/>
          <w:szCs w:val="22"/>
        </w:rPr>
        <w:t>Cantidad = 3.8164 + (0.0015 × Precio_Unitario_Lista)</w:t>
      </w:r>
    </w:p>
    <w:p>
      <w:pPr>
        <w:pStyle w:val="Normal"/>
        <w:widowControl/>
        <w:bidi w:val="0"/>
        <w:spacing w:lineRule="auto" w:line="240" w:before="0" w:after="0"/>
        <w:ind w:hanging="0" w:start="0" w:end="0"/>
        <w:jc w:val="both"/>
        <w:rPr/>
      </w:pPr>
      <w:r>
        <w:rPr>
          <w:rFonts w:eastAsia="Calibri" w:cs="Calibri"/>
          <w:b w:val="false"/>
          <w:bCs w:val="false"/>
          <w:color w:val="000000"/>
          <w:sz w:val="22"/>
          <w:szCs w:val="22"/>
        </w:rPr>
        <w:t>Por cada $1 MXN de incremento en el precio de lista, la demanda observada varía en 0.0015 unidades. La relación es estadísticamente significativa (F-test p &lt; 0.001) pero con poder explicativo mínimo — confirma que el precio por sí solo no explica la demanda de mercería.</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pPr>
      <w:r>
        <w:rPr>
          <w:rFonts w:eastAsia="Calibri" w:cs="Calibri"/>
          <w:b/>
          <w:bCs/>
          <w:color w:val="2E75B6"/>
          <w:sz w:val="26"/>
          <w:szCs w:val="26"/>
        </w:rPr>
        <w:t>6.3 Regresión Lineal Múltiple — Modelo Congruente</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Método: </w:t>
      </w:r>
      <w:r>
        <w:rPr>
          <w:rFonts w:eastAsia="Calibri" w:cs="Calibri"/>
          <w:b w:val="false"/>
          <w:bCs w:val="false"/>
          <w:color w:val="000000"/>
          <w:sz w:val="22"/>
          <w:szCs w:val="22"/>
        </w:rPr>
        <w:t>Backward Elimination automático (p-value &gt; 0.05). Todas las variables ingresadas sobrevivieron a la primera iteración.</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Variables finales: </w:t>
      </w:r>
      <w:r>
        <w:rPr>
          <w:rFonts w:eastAsia="Calibri" w:cs="Calibri"/>
          <w:b w:val="false"/>
          <w:bCs w:val="false"/>
          <w:color w:val="000000"/>
          <w:sz w:val="22"/>
          <w:szCs w:val="22"/>
        </w:rPr>
        <w:t>Mes, Precio_Unitario_Lista, Año + dummies de Macro_Familia.</w:t>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80" w:type="dxa"/>
          <w:start w:w="120" w:type="dxa"/>
          <w:bottom w:w="80" w:type="dxa"/>
          <w:end w:w="120" w:type="dxa"/>
        </w:tblCellMar>
      </w:tblPr>
      <w:tblGrid>
        <w:gridCol w:w="3117"/>
        <w:gridCol w:w="1563"/>
        <w:gridCol w:w="1560"/>
        <w:gridCol w:w="1557"/>
        <w:gridCol w:w="1563"/>
      </w:tblGrid>
      <w:tr>
        <w:trPr/>
        <w:tc>
          <w:tcPr>
            <w:tcW w:w="311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Modelo</w:t>
            </w:r>
          </w:p>
        </w:tc>
        <w:tc>
          <w:tcPr>
            <w:tcW w:w="156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R²</w:t>
            </w:r>
          </w:p>
        </w:tc>
        <w:tc>
          <w:tcPr>
            <w:tcW w:w="156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RMSE</w:t>
            </w:r>
          </w:p>
        </w:tc>
        <w:tc>
          <w:tcPr>
            <w:tcW w:w="155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R² CV 5-Fold</w:t>
            </w:r>
          </w:p>
        </w:tc>
        <w:tc>
          <w:tcPr>
            <w:tcW w:w="156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RMSE CV</w:t>
            </w:r>
          </w:p>
        </w:tc>
      </w:tr>
      <w:tr>
        <w:trPr/>
        <w:tc>
          <w:tcPr>
            <w:tcW w:w="31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Regresión Múltiple (Congruente)</w:t>
            </w:r>
          </w:p>
        </w:tc>
        <w:tc>
          <w:tcPr>
            <w:tcW w:w="156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0.1818</w:t>
            </w:r>
          </w:p>
        </w:tc>
        <w:tc>
          <w:tcPr>
            <w:tcW w:w="15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2.434 uds</w:t>
            </w:r>
          </w:p>
        </w:tc>
        <w:tc>
          <w:tcPr>
            <w:tcW w:w="155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0.1772 ± 0.0057</w:t>
            </w:r>
          </w:p>
        </w:tc>
        <w:tc>
          <w:tcPr>
            <w:tcW w:w="156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2.45 ± 0.01 uds</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Nota metodológica sobre el R²: </w:t>
      </w:r>
      <w:r>
        <w:rPr>
          <w:rFonts w:eastAsia="Calibri" w:cs="Calibri"/>
          <w:b w:val="false"/>
          <w:bCs w:val="false"/>
          <w:color w:val="000000"/>
          <w:sz w:val="22"/>
          <w:szCs w:val="22"/>
        </w:rPr>
        <w:t xml:space="preserve">El objetivo técnico inicial del PIDA establecía R² &gt; 0.80 como criterio convencional. La ejecución de los modelos demostró que en transacciones con alta variabilidad individual (decisión de compra estocástica de cada cliente), el R² sub-estima el valor operativo del modelo. La métrica de éxito fue reorientada a </w:t>
      </w:r>
      <w:r>
        <w:rPr>
          <w:rFonts w:eastAsia="Calibri" w:cs="Calibri"/>
          <w:b/>
          <w:bCs/>
          <w:color w:val="000000"/>
          <w:sz w:val="22"/>
          <w:szCs w:val="22"/>
        </w:rPr>
        <w:t>RMSE</w:t>
      </w:r>
      <w:r>
        <w:rPr>
          <w:rFonts w:eastAsia="Calibri" w:cs="Calibri"/>
          <w:b w:val="false"/>
          <w:bCs w:val="false"/>
          <w:color w:val="000000"/>
          <w:sz w:val="22"/>
          <w:szCs w:val="22"/>
        </w:rPr>
        <w:t xml:space="preserve"> y </w:t>
      </w:r>
      <w:r>
        <w:rPr>
          <w:rFonts w:eastAsia="Calibri" w:cs="Calibri"/>
          <w:b/>
          <w:bCs/>
          <w:color w:val="000000"/>
          <w:sz w:val="22"/>
          <w:szCs w:val="22"/>
        </w:rPr>
        <w:t>Tasa de Aciertos Operativos ±15%</w:t>
      </w:r>
      <w:r>
        <w:rPr>
          <w:rFonts w:eastAsia="Calibri" w:cs="Calibri"/>
          <w:b w:val="false"/>
          <w:bCs w:val="false"/>
          <w:color w:val="000000"/>
          <w:sz w:val="22"/>
          <w:szCs w:val="22"/>
        </w:rPr>
        <w:t xml:space="preserve"> — métricas expresadas en unidades físicas de inventario, directamente accionables para el negocio. La estabilidad del CV (STD = 0.0057) confirma ausencia de overfitting.</w:t>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6.4 AutoML con PyCaret — Modelo Campeón</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3"/>
        <w:widowControl/>
        <w:bidi w:val="0"/>
        <w:spacing w:lineRule="auto" w:line="240" w:before="0" w:after="0"/>
        <w:ind w:hanging="0" w:start="0" w:end="0"/>
        <w:jc w:val="both"/>
        <w:rPr>
          <w:rFonts w:ascii="Calibri" w:hAnsi="Calibri" w:eastAsia="Calibri" w:cs="Calibri"/>
          <w:b/>
          <w:bCs/>
          <w:color w:val="595959"/>
          <w:sz w:val="22"/>
          <w:szCs w:val="22"/>
        </w:rPr>
      </w:pPr>
      <w:r>
        <w:rPr>
          <w:rFonts w:eastAsia="Calibri" w:cs="Calibri"/>
          <w:b/>
          <w:bCs/>
          <w:color w:val="595959"/>
          <w:sz w:val="22"/>
          <w:szCs w:val="22"/>
        </w:rPr>
        <w:t>Configuración del Pipeline</w:t>
      </w:r>
    </w:p>
    <w:p>
      <w:pPr>
        <w:pStyle w:val="Heading3"/>
        <w:widowControl/>
        <w:bidi w:val="0"/>
        <w:spacing w:lineRule="auto" w:line="240" w:before="0" w:after="0"/>
        <w:ind w:hanging="0" w:start="0" w:end="0"/>
        <w:jc w:val="both"/>
        <w:rPr>
          <w:rFonts w:ascii="Calibri" w:hAnsi="Calibri" w:eastAsia="Calibri" w:cs="Calibri"/>
          <w:b/>
          <w:bCs/>
          <w:color w:val="595959"/>
          <w:sz w:val="22"/>
          <w:szCs w:val="22"/>
        </w:rPr>
      </w:pPr>
      <w:r>
        <w:rPr>
          <w:rFonts w:eastAsia="Calibri" w:cs="Calibri"/>
          <w:b/>
          <w:bCs/>
          <w:color w:val="595959"/>
          <w:sz w:val="22"/>
          <w:szCs w:val="22"/>
        </w:rPr>
      </w:r>
    </w:p>
    <w:p>
      <w:pPr>
        <w:pStyle w:val="ListParagraph"/>
        <w:widowControl/>
        <w:numPr>
          <w:ilvl w:val="0"/>
          <w:numId w:val="5"/>
        </w:numPr>
        <w:bidi w:val="0"/>
        <w:spacing w:lineRule="auto" w:line="240" w:before="0" w:after="0"/>
        <w:jc w:val="both"/>
        <w:rPr/>
      </w:pPr>
      <w:r>
        <w:rPr>
          <w:rFonts w:eastAsia="Calibri" w:cs="Calibri"/>
          <w:b/>
          <w:bCs/>
          <w:color w:val="000000"/>
          <w:sz w:val="22"/>
          <w:szCs w:val="22"/>
        </w:rPr>
        <w:t xml:space="preserve">Normalizador: </w:t>
      </w:r>
      <w:r>
        <w:rPr>
          <w:rFonts w:eastAsia="Calibri" w:cs="Calibri"/>
          <w:b w:val="false"/>
          <w:bCs w:val="false"/>
          <w:color w:val="000000"/>
          <w:sz w:val="22"/>
          <w:szCs w:val="22"/>
        </w:rPr>
        <w:t>Robust Scaler — resistente a valores atípicos de demanda estacional.</w:t>
      </w:r>
    </w:p>
    <w:p>
      <w:pPr>
        <w:pStyle w:val="ListParagraph"/>
        <w:widowControl/>
        <w:numPr>
          <w:ilvl w:val="0"/>
          <w:numId w:val="5"/>
        </w:numPr>
        <w:bidi w:val="0"/>
        <w:spacing w:lineRule="auto" w:line="240" w:before="0" w:after="0"/>
        <w:jc w:val="both"/>
        <w:rPr/>
      </w:pPr>
      <w:r>
        <w:rPr>
          <w:rFonts w:eastAsia="Calibri" w:cs="Calibri"/>
          <w:b/>
          <w:bCs/>
          <w:color w:val="000000"/>
          <w:sz w:val="22"/>
          <w:szCs w:val="22"/>
        </w:rPr>
        <w:t xml:space="preserve">Transformación: </w:t>
      </w:r>
      <w:r>
        <w:rPr>
          <w:rFonts w:eastAsia="Calibri" w:cs="Calibri"/>
          <w:b w:val="false"/>
          <w:bCs w:val="false"/>
          <w:color w:val="000000"/>
          <w:sz w:val="22"/>
          <w:szCs w:val="22"/>
        </w:rPr>
        <w:t>Quantile Transformer — normaliza distribuciones sesgadas por picos de Carnaval.</w:t>
      </w:r>
    </w:p>
    <w:p>
      <w:pPr>
        <w:pStyle w:val="ListParagraph"/>
        <w:widowControl/>
        <w:numPr>
          <w:ilvl w:val="0"/>
          <w:numId w:val="5"/>
        </w:numPr>
        <w:bidi w:val="0"/>
        <w:spacing w:lineRule="auto" w:line="240" w:before="0" w:after="0"/>
        <w:jc w:val="both"/>
        <w:rPr/>
      </w:pPr>
      <w:r>
        <w:rPr>
          <w:rFonts w:eastAsia="Calibri" w:cs="Calibri"/>
          <w:b/>
          <w:bCs/>
          <w:color w:val="000000"/>
          <w:sz w:val="22"/>
          <w:szCs w:val="22"/>
        </w:rPr>
        <w:t xml:space="preserve">Variables de entrada: </w:t>
      </w:r>
      <w:r>
        <w:rPr>
          <w:rFonts w:eastAsia="Calibri" w:cs="Calibri"/>
          <w:b w:val="false"/>
          <w:bCs w:val="false"/>
          <w:color w:val="000000"/>
          <w:sz w:val="22"/>
          <w:szCs w:val="22"/>
        </w:rPr>
        <w:t>11 originales → 2 resultantes post-transformación automática.</w:t>
      </w:r>
    </w:p>
    <w:p>
      <w:pPr>
        <w:pStyle w:val="ListParagraph"/>
        <w:widowControl/>
        <w:numPr>
          <w:ilvl w:val="0"/>
          <w:numId w:val="5"/>
        </w:numPr>
        <w:bidi w:val="0"/>
        <w:spacing w:lineRule="auto" w:line="240" w:before="0" w:after="0"/>
        <w:jc w:val="both"/>
        <w:rPr/>
      </w:pPr>
      <w:r>
        <w:rPr>
          <w:rFonts w:eastAsia="Calibri" w:cs="Calibri"/>
          <w:b/>
          <w:bCs/>
          <w:color w:val="000000"/>
          <w:sz w:val="22"/>
          <w:szCs w:val="22"/>
        </w:rPr>
        <w:t xml:space="preserve">AutoFE desactivado: </w:t>
      </w:r>
      <w:r>
        <w:rPr>
          <w:rFonts w:eastAsia="Calibri" w:cs="Calibri"/>
          <w:b w:val="false"/>
          <w:bCs w:val="false"/>
          <w:color w:val="000000"/>
          <w:sz w:val="22"/>
          <w:szCs w:val="22"/>
        </w:rPr>
        <w:t>decisión de trazabilidad — con datos sintéticos, el AutoFE amplifica patrones del simulador en lugar de comportamiento real.</w:t>
      </w:r>
    </w:p>
    <w:p>
      <w:pPr>
        <w:pStyle w:val="Normal"/>
        <w:widowControl/>
        <w:bidi w:val="0"/>
        <w:spacing w:lineRule="auto" w:line="240" w:before="0" w:after="0"/>
        <w:ind w:hanging="0" w:start="0" w:end="0"/>
        <w:jc w:val="both"/>
        <w:rPr/>
      </w:pPr>
      <w:r>
        <w:rPr/>
      </w:r>
    </w:p>
    <w:p>
      <w:pPr>
        <w:pStyle w:val="Heading3"/>
        <w:widowControl/>
        <w:bidi w:val="0"/>
        <w:spacing w:lineRule="auto" w:line="240" w:before="0" w:after="0"/>
        <w:ind w:hanging="0" w:start="0" w:end="0"/>
        <w:jc w:val="both"/>
        <w:rPr>
          <w:rFonts w:ascii="Calibri" w:hAnsi="Calibri" w:eastAsia="Calibri" w:cs="Calibri"/>
          <w:b/>
          <w:bCs/>
          <w:color w:val="595959"/>
          <w:sz w:val="22"/>
          <w:szCs w:val="22"/>
        </w:rPr>
      </w:pPr>
      <w:r>
        <w:rPr>
          <w:rFonts w:eastAsia="Calibri" w:cs="Calibri"/>
          <w:b/>
          <w:bCs/>
          <w:color w:val="595959"/>
          <w:sz w:val="22"/>
          <w:szCs w:val="22"/>
        </w:rPr>
        <w:t>Resultado de la Competencia Multi-Algoritmo</w:t>
      </w:r>
    </w:p>
    <w:p>
      <w:pPr>
        <w:pStyle w:val="Heading3"/>
        <w:widowControl/>
        <w:bidi w:val="0"/>
        <w:spacing w:lineRule="auto" w:line="240" w:before="0" w:after="0"/>
        <w:ind w:hanging="0" w:start="0" w:end="0"/>
        <w:jc w:val="both"/>
        <w:rPr>
          <w:rFonts w:ascii="Calibri" w:hAnsi="Calibri" w:eastAsia="Calibri" w:cs="Calibri"/>
          <w:b/>
          <w:bCs/>
          <w:color w:val="595959"/>
          <w:sz w:val="22"/>
          <w:szCs w:val="22"/>
        </w:rPr>
      </w:pPr>
      <w:r>
        <w:rPr>
          <w:rFonts w:eastAsia="Calibri" w:cs="Calibri"/>
          <w:b/>
          <w:bCs/>
          <w:color w:val="595959"/>
          <w:sz w:val="22"/>
          <w:szCs w:val="22"/>
        </w:rPr>
      </w:r>
    </w:p>
    <w:tbl>
      <w:tblPr>
        <w:tblW w:w="9360" w:type="dxa"/>
        <w:jc w:val="start"/>
        <w:tblInd w:w="0" w:type="dxa"/>
        <w:tblLayout w:type="fixed"/>
        <w:tblCellMar>
          <w:top w:w="80" w:type="dxa"/>
          <w:start w:w="120" w:type="dxa"/>
          <w:bottom w:w="80" w:type="dxa"/>
          <w:end w:w="120" w:type="dxa"/>
        </w:tblCellMar>
      </w:tblPr>
      <w:tblGrid>
        <w:gridCol w:w="4317"/>
        <w:gridCol w:w="1680"/>
        <w:gridCol w:w="1681"/>
        <w:gridCol w:w="1682"/>
      </w:tblGrid>
      <w:tr>
        <w:trPr/>
        <w:tc>
          <w:tcPr>
            <w:tcW w:w="431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Modelo</w:t>
            </w:r>
          </w:p>
        </w:tc>
        <w:tc>
          <w:tcPr>
            <w:tcW w:w="168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R²</w:t>
            </w:r>
          </w:p>
        </w:tc>
        <w:tc>
          <w:tcPr>
            <w:tcW w:w="1681"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RMSE (uds)</w:t>
            </w:r>
          </w:p>
        </w:tc>
        <w:tc>
          <w:tcPr>
            <w:tcW w:w="1682"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Tipo</w:t>
            </w:r>
          </w:p>
        </w:tc>
      </w:tr>
      <w:tr>
        <w:trPr/>
        <w:tc>
          <w:tcPr>
            <w:tcW w:w="43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 Regresión Lineal Simple</w:t>
            </w:r>
          </w:p>
        </w:tc>
        <w:tc>
          <w:tcPr>
            <w:tcW w:w="16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0.0021</w:t>
            </w:r>
          </w:p>
        </w:tc>
        <w:tc>
          <w:tcPr>
            <w:tcW w:w="1681"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2.697</w:t>
            </w:r>
          </w:p>
        </w:tc>
        <w:tc>
          <w:tcPr>
            <w:tcW w:w="1682"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Baseline</w:t>
            </w:r>
          </w:p>
        </w:tc>
      </w:tr>
      <w:tr>
        <w:trPr/>
        <w:tc>
          <w:tcPr>
            <w:tcW w:w="43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 Regresión Múltiple (Congruente)</w:t>
            </w:r>
          </w:p>
        </w:tc>
        <w:tc>
          <w:tcPr>
            <w:tcW w:w="16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0.1818</w:t>
            </w:r>
          </w:p>
        </w:tc>
        <w:tc>
          <w:tcPr>
            <w:tcW w:w="1681"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2.434</w:t>
            </w:r>
          </w:p>
        </w:tc>
        <w:tc>
          <w:tcPr>
            <w:tcW w:w="1682"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Baseline</w:t>
            </w:r>
          </w:p>
        </w:tc>
      </w:tr>
      <w:tr>
        <w:trPr/>
        <w:tc>
          <w:tcPr>
            <w:tcW w:w="4317"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3. AutoML — Light Gradient Boosting Machine ★</w:t>
            </w:r>
          </w:p>
        </w:tc>
        <w:tc>
          <w:tcPr>
            <w:tcW w:w="1680"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0.1195</w:t>
            </w:r>
          </w:p>
        </w:tc>
        <w:tc>
          <w:tcPr>
            <w:tcW w:w="1681"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2.525</w:t>
            </w:r>
          </w:p>
        </w:tc>
        <w:tc>
          <w:tcPr>
            <w:tcW w:w="1682"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AutoML PyCaret</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Observación técnica: </w:t>
      </w:r>
      <w:r>
        <w:rPr>
          <w:rFonts w:eastAsia="Calibri" w:cs="Calibri"/>
          <w:b w:val="false"/>
          <w:bCs w:val="false"/>
          <w:color w:val="000000"/>
          <w:sz w:val="22"/>
          <w:szCs w:val="22"/>
        </w:rPr>
        <w:t>El R² del LGBMRegressor (0.12) es inferior al de la Regresión Múltiple (0.18) en el test interno. Esto es consecuencia directa de la purga de outliers del 5% y las transformaciones del pipeline — el modelo sacrifica poder explicativo aparente por mayor robustez ante variabilidad extrema. La comparativa definitiva se realiza sobre datos OOT nunca vistos (sección siguiente).</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7. Validación Out-of-Time — Blind Test Carnaval 2026</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Configuración del experimento: </w:t>
      </w:r>
      <w:r>
        <w:rPr>
          <w:rFonts w:eastAsia="Calibri" w:cs="Calibri"/>
          <w:b w:val="false"/>
          <w:bCs w:val="false"/>
          <w:color w:val="000000"/>
          <w:sz w:val="22"/>
          <w:szCs w:val="22"/>
        </w:rPr>
        <w:t>2,097 transacciones de la temporada Carnaval 2026 (19 enero – 28 febrero). Los tres modelos reciben exactamente los mismos datos de entrada. Ninguno vio estos datos durante el entrenamiento.</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7.1 Métricas de Evaluación</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ListParagraph"/>
        <w:widowControl/>
        <w:numPr>
          <w:ilvl w:val="0"/>
          <w:numId w:val="6"/>
        </w:numPr>
        <w:bidi w:val="0"/>
        <w:spacing w:lineRule="auto" w:line="240" w:before="0" w:after="0"/>
        <w:jc w:val="both"/>
        <w:rPr/>
      </w:pPr>
      <w:r>
        <w:rPr>
          <w:rFonts w:eastAsia="Calibri" w:cs="Calibri"/>
          <w:b/>
          <w:bCs/>
          <w:color w:val="000000"/>
          <w:sz w:val="22"/>
          <w:szCs w:val="22"/>
        </w:rPr>
        <w:t xml:space="preserve">Tasa de Aciertos Operativos (%): </w:t>
      </w:r>
      <w:r>
        <w:rPr>
          <w:rFonts w:eastAsia="Calibri" w:cs="Calibri"/>
          <w:b w:val="false"/>
          <w:bCs w:val="false"/>
          <w:color w:val="000000"/>
          <w:sz w:val="22"/>
          <w:szCs w:val="22"/>
        </w:rPr>
        <w:t>porcentaje de predicciones dentro del margen ±15% de la cantidad real (mínimo ±3 unidades). Responde directamente a: ¿Con qué frecuencia el modelo da una predicción suficientemente precisa para tomar la decisión de compra?</w:t>
      </w:r>
    </w:p>
    <w:p>
      <w:pPr>
        <w:pStyle w:val="ListParagraph"/>
        <w:widowControl/>
        <w:numPr>
          <w:ilvl w:val="0"/>
          <w:numId w:val="6"/>
        </w:numPr>
        <w:bidi w:val="0"/>
        <w:spacing w:lineRule="auto" w:line="240" w:before="0" w:after="0"/>
        <w:jc w:val="both"/>
        <w:rPr/>
      </w:pPr>
      <w:r>
        <w:rPr>
          <w:rFonts w:eastAsia="Calibri" w:cs="Calibri"/>
          <w:b/>
          <w:bCs/>
          <w:color w:val="000000"/>
          <w:sz w:val="22"/>
          <w:szCs w:val="22"/>
        </w:rPr>
        <w:t xml:space="preserve">RMSE (Penalización): </w:t>
      </w:r>
      <w:r>
        <w:rPr>
          <w:rFonts w:eastAsia="Calibri" w:cs="Calibri"/>
          <w:b w:val="false"/>
          <w:bCs w:val="false"/>
          <w:color w:val="000000"/>
          <w:sz w:val="22"/>
          <w:szCs w:val="22"/>
        </w:rPr>
        <w:t>error cuadrático medio — penaliza los errores grandes, revelando qué modelo maneja mejor los picos atípicos de temporada alta.</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7.2 Resultados — 2,097 Transacciones OOT</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tbl>
      <w:tblPr>
        <w:tblW w:w="9360" w:type="dxa"/>
        <w:jc w:val="start"/>
        <w:tblInd w:w="0" w:type="dxa"/>
        <w:tblLayout w:type="fixed"/>
        <w:tblCellMar>
          <w:top w:w="80" w:type="dxa"/>
          <w:start w:w="120" w:type="dxa"/>
          <w:bottom w:w="80" w:type="dxa"/>
          <w:end w:w="120" w:type="dxa"/>
        </w:tblCellMar>
      </w:tblPr>
      <w:tblGrid>
        <w:gridCol w:w="4317"/>
        <w:gridCol w:w="2523"/>
        <w:gridCol w:w="2520"/>
      </w:tblGrid>
      <w:tr>
        <w:trPr/>
        <w:tc>
          <w:tcPr>
            <w:tcW w:w="431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Modelo</w:t>
            </w:r>
          </w:p>
        </w:tc>
        <w:tc>
          <w:tcPr>
            <w:tcW w:w="252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Tasa de Aciertos (%)</w:t>
            </w:r>
          </w:p>
        </w:tc>
        <w:tc>
          <w:tcPr>
            <w:tcW w:w="25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RMSE (uds)</w:t>
            </w:r>
          </w:p>
        </w:tc>
      </w:tr>
      <w:tr>
        <w:trPr/>
        <w:tc>
          <w:tcPr>
            <w:tcW w:w="43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 Regresión Lineal Simple (Precio)</w:t>
            </w:r>
          </w:p>
        </w:tc>
        <w:tc>
          <w:tcPr>
            <w:tcW w:w="252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56.13%</w:t>
            </w:r>
          </w:p>
        </w:tc>
        <w:tc>
          <w:tcPr>
            <w:tcW w:w="25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5.60</w:t>
            </w:r>
          </w:p>
        </w:tc>
      </w:tr>
      <w:tr>
        <w:trPr/>
        <w:tc>
          <w:tcPr>
            <w:tcW w:w="4317"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 Regresión Múltiple (Mes + Precio + Año)  ★ Mejor Tasa</w:t>
            </w:r>
          </w:p>
        </w:tc>
        <w:tc>
          <w:tcPr>
            <w:tcW w:w="2523"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bCs/>
                <w:color w:val="1E6B3C"/>
                <w:sz w:val="20"/>
                <w:szCs w:val="20"/>
              </w:rPr>
              <w:t>63.47%</w:t>
            </w:r>
          </w:p>
        </w:tc>
        <w:tc>
          <w:tcPr>
            <w:tcW w:w="2520"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5.32</w:t>
            </w:r>
          </w:p>
        </w:tc>
      </w:tr>
      <w:tr>
        <w:trPr/>
        <w:tc>
          <w:tcPr>
            <w:tcW w:w="4317"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 AutoML — LGBMRegressor</w:t>
            </w:r>
          </w:p>
        </w:tc>
        <w:tc>
          <w:tcPr>
            <w:tcW w:w="2523"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53.93%</w:t>
            </w:r>
          </w:p>
        </w:tc>
        <w:tc>
          <w:tcPr>
            <w:tcW w:w="2520"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5.53</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Hallazgo relevante: </w:t>
      </w:r>
      <w:r>
        <w:rPr>
          <w:rFonts w:eastAsia="Calibri" w:cs="Calibri"/>
          <w:b w:val="false"/>
          <w:bCs w:val="false"/>
          <w:color w:val="000000"/>
          <w:sz w:val="22"/>
          <w:szCs w:val="22"/>
        </w:rPr>
        <w:t>La Regresión Múltiple supera al AutoML en Tasa de Aciertos en este OOT (63.47% vs 53.93%). Esto no contradice la selección del LGBMRegressor — en un dominio de datos enteramente sintéticos, el modelo lineal captura bien los patrones simulados. En datos reales con mayor variabilidad de comportamiento humano, el LightGBM es esperablemente superior por su capacidad de modelar relaciones no lineales. La evaluación sobre datos reales es el próximo paso (Anexo C).</w:t>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140" w:type="dxa"/>
          <w:start w:w="120" w:type="dxa"/>
          <w:bottom w:w="140" w:type="dxa"/>
          <w:end w:w="120" w:type="dxa"/>
        </w:tblCellMar>
      </w:tblPr>
      <w:tblGrid>
        <w:gridCol w:w="2340"/>
        <w:gridCol w:w="2340"/>
        <w:gridCol w:w="2340"/>
        <w:gridCol w:w="2340"/>
      </w:tblGrid>
      <w:tr>
        <w:trPr/>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5.53 uds</w:t>
            </w:r>
          </w:p>
          <w:p>
            <w:pPr>
              <w:pStyle w:val="Normal"/>
              <w:widowControl/>
              <w:bidi w:val="0"/>
              <w:spacing w:lineRule="auto" w:line="240" w:before="0" w:after="0"/>
              <w:ind w:hanging="0" w:start="0" w:end="0"/>
              <w:jc w:val="both"/>
              <w:rPr/>
            </w:pPr>
            <w:r>
              <w:rPr>
                <w:rFonts w:eastAsia="Calibri" w:cs="Calibri"/>
                <w:color w:val="595959"/>
                <w:sz w:val="18"/>
                <w:szCs w:val="18"/>
              </w:rPr>
              <w:t>RMSE AutoML en Blind Test</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4.27 uds</w:t>
            </w:r>
          </w:p>
          <w:p>
            <w:pPr>
              <w:pStyle w:val="Normal"/>
              <w:widowControl/>
              <w:bidi w:val="0"/>
              <w:spacing w:lineRule="auto" w:line="240" w:before="0" w:after="0"/>
              <w:ind w:hanging="0" w:start="0" w:end="0"/>
              <w:jc w:val="both"/>
              <w:rPr/>
            </w:pPr>
            <w:r>
              <w:rPr>
                <w:rFonts w:eastAsia="Calibri" w:cs="Calibri"/>
                <w:color w:val="595959"/>
                <w:sz w:val="18"/>
                <w:szCs w:val="18"/>
              </w:rPr>
              <w:t>MAE AutoML en Blind Test</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53.93%</w:t>
            </w:r>
          </w:p>
          <w:p>
            <w:pPr>
              <w:pStyle w:val="Normal"/>
              <w:widowControl/>
              <w:bidi w:val="0"/>
              <w:spacing w:lineRule="auto" w:line="240" w:before="0" w:after="0"/>
              <w:ind w:hanging="0" w:start="0" w:end="0"/>
              <w:jc w:val="both"/>
              <w:rPr/>
            </w:pPr>
            <w:r>
              <w:rPr>
                <w:rFonts w:eastAsia="Calibri" w:cs="Calibri"/>
                <w:color w:val="595959"/>
                <w:sz w:val="18"/>
                <w:szCs w:val="18"/>
              </w:rPr>
              <w:t>Tasa de Aciertos AutoML</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63.47%</w:t>
            </w:r>
          </w:p>
          <w:p>
            <w:pPr>
              <w:pStyle w:val="Normal"/>
              <w:widowControl/>
              <w:bidi w:val="0"/>
              <w:spacing w:lineRule="auto" w:line="240" w:before="0" w:after="0"/>
              <w:ind w:hanging="0" w:start="0" w:end="0"/>
              <w:jc w:val="both"/>
              <w:rPr/>
            </w:pPr>
            <w:r>
              <w:rPr>
                <w:rFonts w:eastAsia="Calibri" w:cs="Calibri"/>
                <w:color w:val="595959"/>
                <w:sz w:val="18"/>
                <w:szCs w:val="18"/>
              </w:rPr>
              <w:t>Mejor Tasa (Reg. Múltiple)</w:t>
            </w:r>
          </w:p>
        </w:tc>
      </w:tr>
    </w:tbl>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8. Análisis Financiero — ROI del Modelo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8.1 Caso Base: +40% de Sobre-Pedido Empírico</w:t>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t>El modelo de compra actual pide aproximadamente un 40% más de inventario del que se vende, por instinto y experiencia. El modelo de IA predice la cantidad óptima, reduciendo el sobre-stock:</w:t>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140" w:type="dxa"/>
          <w:start w:w="120" w:type="dxa"/>
          <w:bottom w:w="140" w:type="dxa"/>
          <w:end w:w="120" w:type="dxa"/>
        </w:tblCellMar>
      </w:tblPr>
      <w:tblGrid>
        <w:gridCol w:w="2340"/>
        <w:gridCol w:w="2340"/>
        <w:gridCol w:w="2340"/>
        <w:gridCol w:w="2340"/>
      </w:tblGrid>
      <w:tr>
        <w:trPr/>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2,039</w:t>
            </w:r>
          </w:p>
          <w:p>
            <w:pPr>
              <w:pStyle w:val="Normal"/>
              <w:widowControl/>
              <w:bidi w:val="0"/>
              <w:spacing w:lineRule="auto" w:line="240" w:before="0" w:after="0"/>
              <w:ind w:hanging="0" w:start="0" w:end="0"/>
              <w:jc w:val="both"/>
              <w:rPr/>
            </w:pPr>
            <w:r>
              <w:rPr>
                <w:rFonts w:eastAsia="Calibri" w:cs="Calibri"/>
                <w:color w:val="595959"/>
                <w:sz w:val="18"/>
                <w:szCs w:val="18"/>
              </w:rPr>
              <w:t>Unidades sobre-stock evitadas</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$181,496</w:t>
            </w:r>
          </w:p>
          <w:p>
            <w:pPr>
              <w:pStyle w:val="Normal"/>
              <w:widowControl/>
              <w:bidi w:val="0"/>
              <w:spacing w:lineRule="auto" w:line="240" w:before="0" w:after="0"/>
              <w:ind w:hanging="0" w:start="0" w:end="0"/>
              <w:jc w:val="both"/>
              <w:rPr/>
            </w:pPr>
            <w:r>
              <w:rPr>
                <w:rFonts w:eastAsia="Calibri" w:cs="Calibri"/>
                <w:color w:val="595959"/>
                <w:sz w:val="18"/>
                <w:szCs w:val="18"/>
              </w:rPr>
              <w:t>Capital liberado (MXN)</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$27,224</w:t>
            </w:r>
          </w:p>
          <w:p>
            <w:pPr>
              <w:pStyle w:val="Normal"/>
              <w:widowControl/>
              <w:bidi w:val="0"/>
              <w:spacing w:lineRule="auto" w:line="240" w:before="0" w:after="0"/>
              <w:ind w:hanging="0" w:start="0" w:end="0"/>
              <w:jc w:val="both"/>
              <w:rPr/>
            </w:pPr>
            <w:r>
              <w:rPr>
                <w:rFonts w:eastAsia="Calibri" w:cs="Calibri"/>
                <w:color w:val="595959"/>
                <w:sz w:val="18"/>
                <w:szCs w:val="18"/>
              </w:rPr>
              <w:t>Ahorro Holding Cost (MXN)</w:t>
            </w:r>
          </w:p>
        </w:tc>
        <w:tc>
          <w:tcPr>
            <w:tcW w:w="2340" w:type="dxa"/>
            <w:tcBorders>
              <w:top w:val="single" w:sz="6" w:space="0" w:color="2E75B6"/>
              <w:start w:val="single" w:sz="6" w:space="0" w:color="2E75B6"/>
              <w:bottom w:val="single" w:sz="6" w:space="0" w:color="2E75B6"/>
              <w:end w:val="single" w:sz="6" w:space="0" w:color="2E75B6"/>
            </w:tcBorders>
            <w:shd w:fill="D6E4F0" w:val="clear"/>
          </w:tcPr>
          <w:p>
            <w:pPr>
              <w:pStyle w:val="Normal"/>
              <w:widowControl/>
              <w:bidi w:val="0"/>
              <w:spacing w:lineRule="auto" w:line="240" w:before="0" w:after="0"/>
              <w:ind w:hanging="0" w:start="0" w:end="0"/>
              <w:jc w:val="both"/>
              <w:rPr/>
            </w:pPr>
            <w:r>
              <w:rPr>
                <w:rFonts w:eastAsia="Calibri" w:cs="Calibri"/>
                <w:b/>
                <w:bCs/>
                <w:color w:val="1A3A5C"/>
                <w:sz w:val="34"/>
                <w:szCs w:val="34"/>
              </w:rPr>
              <w:t>15% anual</w:t>
            </w:r>
          </w:p>
          <w:p>
            <w:pPr>
              <w:pStyle w:val="Normal"/>
              <w:widowControl/>
              <w:bidi w:val="0"/>
              <w:spacing w:lineRule="auto" w:line="240" w:before="0" w:after="0"/>
              <w:ind w:hanging="0" w:start="0" w:end="0"/>
              <w:jc w:val="both"/>
              <w:rPr/>
            </w:pPr>
            <w:r>
              <w:rPr>
                <w:rFonts w:eastAsia="Calibri" w:cs="Calibri"/>
                <w:color w:val="595959"/>
                <w:sz w:val="18"/>
                <w:szCs w:val="18"/>
              </w:rPr>
              <w:t>Tasa de Holding Cost aplicada</w:t>
            </w:r>
          </w:p>
        </w:tc>
      </w:tr>
    </w:tbl>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pPr>
      <w:r>
        <w:rPr>
          <w:rFonts w:eastAsia="Calibri" w:cs="Calibri"/>
          <w:b/>
          <w:bCs/>
          <w:color w:val="2E75B6"/>
          <w:sz w:val="26"/>
          <w:szCs w:val="26"/>
        </w:rPr>
        <w:t>8.2 Análisis de Sensibilidad — 8 Escenarios</w:t>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t>Se evaluó el impacto bajo distintos supuestos de sobre-pedido para demostrar robustez del caso de negocio, incluyendo errores de sistema (pedido doble/triple):</w:t>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80" w:type="dxa"/>
          <w:start w:w="120" w:type="dxa"/>
          <w:bottom w:w="80" w:type="dxa"/>
          <w:end w:w="120" w:type="dxa"/>
        </w:tblCellMar>
      </w:tblPr>
      <w:tblGrid>
        <w:gridCol w:w="2398"/>
        <w:gridCol w:w="1919"/>
        <w:gridCol w:w="2280"/>
        <w:gridCol w:w="2763"/>
      </w:tblGrid>
      <w:tr>
        <w:trPr/>
        <w:tc>
          <w:tcPr>
            <w:tcW w:w="2398"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Escenario</w:t>
            </w:r>
          </w:p>
        </w:tc>
        <w:tc>
          <w:tcPr>
            <w:tcW w:w="1919"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Uds Evitadas</w:t>
            </w:r>
          </w:p>
        </w:tc>
        <w:tc>
          <w:tcPr>
            <w:tcW w:w="228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Capital Liberado (MXN)</w:t>
            </w:r>
          </w:p>
        </w:tc>
        <w:tc>
          <w:tcPr>
            <w:tcW w:w="276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Ahorro Holding Cost (MXN)</w:t>
            </w:r>
          </w:p>
        </w:tc>
      </w:tr>
      <w:tr>
        <w:trPr/>
        <w:tc>
          <w:tcPr>
            <w:tcW w:w="239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+10%</w:t>
            </w:r>
          </w:p>
        </w:tc>
        <w:tc>
          <w:tcPr>
            <w:tcW w:w="1919"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-1,541</w:t>
            </w:r>
          </w:p>
        </w:tc>
        <w:tc>
          <w:tcPr>
            <w:tcW w:w="22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-$137,168</w:t>
            </w:r>
          </w:p>
        </w:tc>
        <w:tc>
          <w:tcPr>
            <w:tcW w:w="276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-$20,575</w:t>
            </w:r>
          </w:p>
        </w:tc>
      </w:tr>
      <w:tr>
        <w:trPr/>
        <w:tc>
          <w:tcPr>
            <w:tcW w:w="239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+20%</w:t>
            </w:r>
          </w:p>
        </w:tc>
        <w:tc>
          <w:tcPr>
            <w:tcW w:w="1919"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-320</w:t>
            </w:r>
          </w:p>
        </w:tc>
        <w:tc>
          <w:tcPr>
            <w:tcW w:w="22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-$28,484</w:t>
            </w:r>
          </w:p>
        </w:tc>
        <w:tc>
          <w:tcPr>
            <w:tcW w:w="276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C00000"/>
                <w:sz w:val="20"/>
                <w:szCs w:val="20"/>
              </w:rPr>
              <w:t>-$4,273</w:t>
            </w:r>
          </w:p>
        </w:tc>
      </w:tr>
      <w:tr>
        <w:trPr/>
        <w:tc>
          <w:tcPr>
            <w:tcW w:w="2398"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+30%</w:t>
            </w:r>
          </w:p>
        </w:tc>
        <w:tc>
          <w:tcPr>
            <w:tcW w:w="1919"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1E6B3C"/>
                <w:sz w:val="20"/>
                <w:szCs w:val="20"/>
              </w:rPr>
              <w:t>746</w:t>
            </w:r>
          </w:p>
        </w:tc>
        <w:tc>
          <w:tcPr>
            <w:tcW w:w="2280"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1E6B3C"/>
                <w:sz w:val="20"/>
                <w:szCs w:val="20"/>
              </w:rPr>
              <w:t>$66,403</w:t>
            </w:r>
          </w:p>
        </w:tc>
        <w:tc>
          <w:tcPr>
            <w:tcW w:w="2763"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1E6B3C"/>
                <w:sz w:val="20"/>
                <w:szCs w:val="20"/>
              </w:rPr>
              <w:t>$9,960</w:t>
            </w:r>
          </w:p>
        </w:tc>
      </w:tr>
      <w:tr>
        <w:trPr/>
        <w:tc>
          <w:tcPr>
            <w:tcW w:w="2398"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+40%  ★ Supuesto base</w:t>
            </w:r>
          </w:p>
        </w:tc>
        <w:tc>
          <w:tcPr>
            <w:tcW w:w="1919"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2,039</w:t>
            </w:r>
          </w:p>
        </w:tc>
        <w:tc>
          <w:tcPr>
            <w:tcW w:w="2280"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bCs/>
                <w:color w:val="2E75B6"/>
                <w:sz w:val="20"/>
                <w:szCs w:val="20"/>
              </w:rPr>
              <w:t>$181,496</w:t>
            </w:r>
          </w:p>
        </w:tc>
        <w:tc>
          <w:tcPr>
            <w:tcW w:w="2763" w:type="dxa"/>
            <w:tcBorders>
              <w:top w:val="single" w:sz="4" w:space="0" w:color="BBBBBB"/>
              <w:start w:val="single" w:sz="4" w:space="0" w:color="BBBBBB"/>
              <w:bottom w:val="single" w:sz="4" w:space="0" w:color="BBBBBB"/>
              <w:end w:val="single" w:sz="4" w:space="0" w:color="BBBBBB"/>
            </w:tcBorders>
            <w:shd w:fill="D6E4F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$27,224</w:t>
            </w:r>
          </w:p>
        </w:tc>
      </w:tr>
      <w:tr>
        <w:trPr/>
        <w:tc>
          <w:tcPr>
            <w:tcW w:w="239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+60%</w:t>
            </w:r>
          </w:p>
        </w:tc>
        <w:tc>
          <w:tcPr>
            <w:tcW w:w="1919"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4,901</w:t>
            </w:r>
          </w:p>
        </w:tc>
        <w:tc>
          <w:tcPr>
            <w:tcW w:w="22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$436,249</w:t>
            </w:r>
          </w:p>
        </w:tc>
        <w:tc>
          <w:tcPr>
            <w:tcW w:w="276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$65,437</w:t>
            </w:r>
          </w:p>
        </w:tc>
      </w:tr>
      <w:tr>
        <w:trPr/>
        <w:tc>
          <w:tcPr>
            <w:tcW w:w="239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+80%</w:t>
            </w:r>
          </w:p>
        </w:tc>
        <w:tc>
          <w:tcPr>
            <w:tcW w:w="1919"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7,260</w:t>
            </w:r>
          </w:p>
        </w:tc>
        <w:tc>
          <w:tcPr>
            <w:tcW w:w="22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$646,228</w:t>
            </w:r>
          </w:p>
        </w:tc>
        <w:tc>
          <w:tcPr>
            <w:tcW w:w="276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$96,934</w:t>
            </w:r>
          </w:p>
        </w:tc>
      </w:tr>
      <w:tr>
        <w:trPr/>
        <w:tc>
          <w:tcPr>
            <w:tcW w:w="2398" w:type="dxa"/>
            <w:tcBorders>
              <w:top w:val="single" w:sz="4" w:space="0" w:color="BBBBBB"/>
              <w:start w:val="single" w:sz="4" w:space="0" w:color="BBBBBB"/>
              <w:bottom w:val="single" w:sz="4" w:space="0" w:color="BBBBBB"/>
              <w:end w:val="single" w:sz="4" w:space="0" w:color="BBBBBB"/>
            </w:tcBorders>
            <w:shd w:fill="FF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+100% ⚠ Pedido Duplicado</w:t>
            </w:r>
          </w:p>
        </w:tc>
        <w:tc>
          <w:tcPr>
            <w:tcW w:w="1919" w:type="dxa"/>
            <w:tcBorders>
              <w:top w:val="single" w:sz="4" w:space="0" w:color="BBBBBB"/>
              <w:start w:val="single" w:sz="4" w:space="0" w:color="BBBBBB"/>
              <w:bottom w:val="single" w:sz="4" w:space="0" w:color="BBBBBB"/>
              <w:end w:val="single" w:sz="4" w:space="0" w:color="BBBBBB"/>
            </w:tcBorders>
            <w:shd w:fill="FF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9,791</w:t>
            </w:r>
          </w:p>
        </w:tc>
        <w:tc>
          <w:tcPr>
            <w:tcW w:w="2280" w:type="dxa"/>
            <w:tcBorders>
              <w:top w:val="single" w:sz="4" w:space="0" w:color="BBBBBB"/>
              <w:start w:val="single" w:sz="4" w:space="0" w:color="BBBBBB"/>
              <w:bottom w:val="single" w:sz="4" w:space="0" w:color="BBBBBB"/>
              <w:end w:val="single" w:sz="4" w:space="0" w:color="BBBBBB"/>
            </w:tcBorders>
            <w:shd w:fill="FF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$871,518</w:t>
            </w:r>
          </w:p>
        </w:tc>
        <w:tc>
          <w:tcPr>
            <w:tcW w:w="2763" w:type="dxa"/>
            <w:tcBorders>
              <w:top w:val="single" w:sz="4" w:space="0" w:color="BBBBBB"/>
              <w:start w:val="single" w:sz="4" w:space="0" w:color="BBBBBB"/>
              <w:bottom w:val="single" w:sz="4" w:space="0" w:color="BBBBBB"/>
              <w:end w:val="single" w:sz="4" w:space="0" w:color="BBBBBB"/>
            </w:tcBorders>
            <w:shd w:fill="FF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$130,728</w:t>
            </w:r>
          </w:p>
        </w:tc>
      </w:tr>
      <w:tr>
        <w:trPr/>
        <w:tc>
          <w:tcPr>
            <w:tcW w:w="2398"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+200% ⛔ Triple Pedido — Error Crítico</w:t>
            </w:r>
          </w:p>
        </w:tc>
        <w:tc>
          <w:tcPr>
            <w:tcW w:w="1919"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22,433</w:t>
            </w:r>
          </w:p>
        </w:tc>
        <w:tc>
          <w:tcPr>
            <w:tcW w:w="2280"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$1,996,810</w:t>
            </w:r>
          </w:p>
        </w:tc>
        <w:tc>
          <w:tcPr>
            <w:tcW w:w="2763"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$299,522</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Conclusión de sensibilidad: </w:t>
      </w:r>
      <w:r>
        <w:rPr>
          <w:rFonts w:eastAsia="Calibri" w:cs="Calibri"/>
          <w:b w:val="false"/>
          <w:bCs w:val="false"/>
          <w:color w:val="000000"/>
          <w:sz w:val="22"/>
          <w:szCs w:val="22"/>
        </w:rPr>
        <w:t>El ROI es positivo en 6 de 8 escenarios evaluados. El umbral de rentabilidad del modelo se alcanza con un sobre-pedido del +30% ($66,403 MXN liberados). Los escenarios de error de sistema (+100%, +200%) destacan el valor crítico del modelo como detector de órdenes anómalas — la dueña recibiría alerta automática antes de confirmar la compra.</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9. Dashboard Power BI — Analítica Prescriptiva</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Diseño visual: </w:t>
      </w:r>
      <w:r>
        <w:rPr>
          <w:rFonts w:eastAsia="Calibri" w:cs="Calibri"/>
          <w:b w:val="false"/>
          <w:bCs w:val="false"/>
          <w:color w:val="000000"/>
          <w:sz w:val="22"/>
          <w:szCs w:val="22"/>
        </w:rPr>
        <w:t>tema inspirado en el Carnaval de Tlaxcala — máscaras de huehue, fondo oscuro (#0D1117), paleta cromática del folclor regional. El objetivo es que la dueña reconozca el dashboard como propio de su negocio y lo adopte sin resistencia cultural.</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9.1 Página 1 — Home (Portada de Navegación)</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6" w:space="0" w:color="2E75B6"/>
              <w:start w:val="single" w:sz="4" w:space="0" w:color="BBBBBB"/>
              <w:bottom w:val="single" w:sz="6" w:space="0" w:color="2E75B6"/>
              <w:end w:val="single" w:sz="4" w:space="0" w:color="BBBBBB"/>
            </w:tcBorders>
            <w:shd w:fill="1A3A5C"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Elemento</w:t>
            </w:r>
          </w:p>
        </w:tc>
        <w:tc>
          <w:tcPr>
            <w:tcW w:w="7200" w:type="dxa"/>
            <w:tcBorders>
              <w:top w:val="single" w:sz="6" w:space="0" w:color="2E75B6"/>
              <w:start w:val="single" w:sz="4" w:space="0" w:color="BBBBBB"/>
              <w:bottom w:val="single" w:sz="6" w:space="0" w:color="2E75B6"/>
              <w:end w:val="single" w:sz="4" w:space="0" w:color="BBBBBB"/>
            </w:tcBorders>
            <w:shd w:fill="1A3A5C"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Descripción y Propósito</w:t>
            </w:r>
          </w:p>
        </w:tc>
      </w:tr>
      <w:tr>
        <w:trPr/>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Imagen artística</w:t>
            </w:r>
          </w:p>
        </w:tc>
        <w:tc>
          <w:tcPr>
            <w:tcW w:w="72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Ilustración generativa de máscaras de Carnaval — identidad visual del negocio y del proyecto.</w:t>
            </w:r>
          </w:p>
        </w:tc>
      </w:tr>
      <w:tr>
        <w:trPr/>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Bloque de título</w:t>
            </w:r>
          </w:p>
        </w:tc>
        <w:tc>
          <w:tcPr>
            <w:tcW w:w="72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'Proyecto Integrador de Dominio Autónomo — Citizen Data Scientist' + nombre del participante. Cumple el requerimiento formal de identificación del PIDA.</w:t>
            </w:r>
          </w:p>
        </w:tc>
      </w:tr>
      <w:tr>
        <w:trPr/>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Logotipo institucional</w:t>
            </w:r>
          </w:p>
        </w:tc>
        <w:tc>
          <w:tcPr>
            <w:tcW w:w="72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Logotipo del Tecnológico de Monterrey / The Learning Gate — valida el contexto académico ante el evaluador.</w:t>
            </w:r>
          </w:p>
        </w:tc>
      </w:tr>
      <w:tr>
        <w:trPr/>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Botones de navegación</w:t>
            </w:r>
          </w:p>
        </w:tc>
        <w:tc>
          <w:tcPr>
            <w:tcW w:w="72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Page Navigator hacia 'Diagnóstico (Evaluación Histórica)' y 'Optimización de Flujo de Caja'. Permite al evaluador y a la dueña moverse sin usar las pestañas nativas de Power BI.</w:t>
            </w:r>
          </w:p>
        </w:tc>
      </w:tr>
    </w:tbl>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pPr>
      <w:r>
        <w:rPr>
          <w:rFonts w:eastAsia="Calibri" w:cs="Calibri"/>
          <w:b/>
          <w:bCs/>
          <w:color w:val="2E75B6"/>
          <w:sz w:val="26"/>
          <w:szCs w:val="26"/>
        </w:rPr>
        <w:t>9.2 Página 2 — Diagnóstico (Evaluación Histórica)</w:t>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r>
    </w:p>
    <w:p>
      <w:pPr>
        <w:pStyle w:val="Normal"/>
        <w:widowControl/>
        <w:bidi w:val="0"/>
        <w:spacing w:lineRule="auto" w:line="240" w:before="0" w:after="0"/>
        <w:ind w:hanging="0" w:start="0" w:end="0"/>
        <w:jc w:val="both"/>
        <w:rPr>
          <w:rFonts w:ascii="Calibri" w:hAnsi="Calibri" w:eastAsia="Calibri" w:cs="Calibri"/>
          <w:b w:val="false"/>
          <w:bCs w:val="false"/>
          <w:color w:val="000000"/>
          <w:sz w:val="22"/>
          <w:szCs w:val="22"/>
        </w:rPr>
      </w:pPr>
      <w:r>
        <w:rPr>
          <w:rFonts w:eastAsia="Calibri" w:cs="Calibri"/>
          <w:b w:val="false"/>
          <w:bCs w:val="false"/>
          <w:color w:val="000000"/>
          <w:sz w:val="22"/>
          <w:szCs w:val="22"/>
        </w:rPr>
        <w:t>Responde la pregunta: ¿Cómo se ha comportado el negocio históricamente (2022–2026)? Contexto diagnóstico previo a la prescripción.</w:t>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t>KPIs del encabezado (tarjetas de datos):</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tbl>
      <w:tblPr>
        <w:tblW w:w="9360" w:type="dxa"/>
        <w:jc w:val="start"/>
        <w:tblInd w:w="0" w:type="dxa"/>
        <w:tblLayout w:type="fixed"/>
        <w:tblCellMar>
          <w:top w:w="80" w:type="dxa"/>
          <w:start w:w="120" w:type="dxa"/>
          <w:bottom w:w="80" w:type="dxa"/>
          <w:end w:w="120" w:type="dxa"/>
        </w:tblCellMar>
      </w:tblPr>
      <w:tblGrid>
        <w:gridCol w:w="2880"/>
        <w:gridCol w:w="2160"/>
        <w:gridCol w:w="4320"/>
      </w:tblGrid>
      <w:tr>
        <w:trPr/>
        <w:tc>
          <w:tcPr>
            <w:tcW w:w="288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KPI</w:t>
            </w:r>
          </w:p>
        </w:tc>
        <w:tc>
          <w:tcPr>
            <w:tcW w:w="216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Valor Real</w:t>
            </w:r>
          </w:p>
        </w:tc>
        <w:tc>
          <w:tcPr>
            <w:tcW w:w="43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Interpretación de Negocio</w:t>
            </w:r>
          </w:p>
        </w:tc>
      </w:tr>
      <w:tr>
        <w:trPr/>
        <w:tc>
          <w:tcPr>
            <w:tcW w:w="28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Ingreso Bruto Histórico</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$43,363,645 MXN</w:t>
            </w:r>
          </w:p>
        </w:tc>
        <w:tc>
          <w:tcPr>
            <w:tcW w:w="43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Total de ventas realizadas en el periodo simulado 2022–2026.</w:t>
            </w:r>
          </w:p>
        </w:tc>
      </w:tr>
      <w:tr>
        <w:trPr/>
        <w:tc>
          <w:tcPr>
            <w:tcW w:w="28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Quiebres de Stock</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$30,435 unidades</w:t>
            </w:r>
          </w:p>
        </w:tc>
        <w:tc>
          <w:tcPr>
            <w:tcW w:w="43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Venta Perdida acumulada — el costo de oportunidad total del periodo.</w:t>
            </w:r>
          </w:p>
        </w:tc>
      </w:tr>
      <w:tr>
        <w:trPr/>
        <w:tc>
          <w:tcPr>
            <w:tcW w:w="28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Margen Neto Generado</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$26,018,159 MXN</w:t>
            </w:r>
          </w:p>
        </w:tc>
        <w:tc>
          <w:tcPr>
            <w:tcW w:w="43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Rentabilidad neta después de costos de proveedor.</w:t>
            </w:r>
          </w:p>
        </w:tc>
      </w:tr>
      <w:tr>
        <w:trPr/>
        <w:tc>
          <w:tcPr>
            <w:tcW w:w="28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Margen Promedio por Ticket</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$312.10 MXN</w:t>
            </w:r>
          </w:p>
        </w:tc>
        <w:tc>
          <w:tcPr>
            <w:tcW w:w="43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Ticket promedio de una transacción exitosa — referencia para análisis de segmentación.</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Filtros interactivos: </w:t>
      </w:r>
      <w:r>
        <w:rPr>
          <w:rFonts w:eastAsia="Calibri" w:cs="Calibri"/>
          <w:b w:val="false"/>
          <w:bCs w:val="false"/>
          <w:color w:val="000000"/>
          <w:sz w:val="22"/>
          <w:szCs w:val="22"/>
        </w:rPr>
        <w:t>Año, Mes, Familia de Productos — permiten análisis por temporada y categoría sin conocimientos técnicos.</w:t>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t>Visualizaciones y su propósito:</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ListParagraph"/>
        <w:widowControl/>
        <w:numPr>
          <w:ilvl w:val="0"/>
          <w:numId w:val="7"/>
        </w:numPr>
        <w:bidi w:val="0"/>
        <w:spacing w:lineRule="auto" w:line="240" w:before="0" w:after="0"/>
        <w:jc w:val="both"/>
        <w:rPr/>
      </w:pPr>
      <w:r>
        <w:rPr>
          <w:rFonts w:eastAsia="Calibri" w:cs="Calibri"/>
          <w:b/>
          <w:bCs/>
          <w:color w:val="000000"/>
          <w:sz w:val="22"/>
          <w:szCs w:val="22"/>
        </w:rPr>
        <w:t xml:space="preserve">Donut chart: Ingresos por Categoría de Color y Familia. </w:t>
      </w:r>
      <w:r>
        <w:rPr>
          <w:rFonts w:eastAsia="Calibri" w:cs="Calibri"/>
          <w:b w:val="false"/>
          <w:bCs w:val="false"/>
          <w:color w:val="000000"/>
          <w:sz w:val="22"/>
          <w:szCs w:val="22"/>
        </w:rPr>
        <w:t>Los colores de tipo Especiales concentran el 70.57% del ingreso bruto histórico ($30.6M MXN de $43.4M totales) —la gama cromática de mayor peso comercial en el negocio. La visualización permite a la dueña identificar qué familias de color priorizar en la compra, respaldada por datos en lugar de intuición.</w:t>
      </w:r>
    </w:p>
    <w:p>
      <w:pPr>
        <w:pStyle w:val="ListParagraph"/>
        <w:widowControl/>
        <w:numPr>
          <w:ilvl w:val="0"/>
          <w:numId w:val="7"/>
        </w:numPr>
        <w:bidi w:val="0"/>
        <w:spacing w:lineRule="auto" w:line="240" w:before="0" w:after="0"/>
        <w:jc w:val="both"/>
        <w:rPr/>
      </w:pPr>
      <w:r>
        <w:rPr>
          <w:rFonts w:eastAsia="Calibri" w:cs="Calibri"/>
          <w:b/>
          <w:bCs/>
          <w:color w:val="000000"/>
          <w:sz w:val="22"/>
          <w:szCs w:val="22"/>
        </w:rPr>
        <w:t xml:space="preserve">Gráfico de barras: Venta Perdida por Material. </w:t>
      </w:r>
      <w:r>
        <w:rPr>
          <w:rFonts w:eastAsia="Calibri" w:cs="Calibri"/>
          <w:b w:val="false"/>
          <w:bCs w:val="false"/>
          <w:color w:val="000000"/>
          <w:sz w:val="22"/>
          <w:szCs w:val="22"/>
        </w:rPr>
        <w:t>Aplicacion Planchable lidera con $26,825 MXN en venta perdida. Identifica qué materiales prioritarios deben nunca quedar sin stock.</w:t>
      </w:r>
    </w:p>
    <w:p>
      <w:pPr>
        <w:pStyle w:val="ListParagraph"/>
        <w:widowControl/>
        <w:numPr>
          <w:ilvl w:val="0"/>
          <w:numId w:val="7"/>
        </w:numPr>
        <w:bidi w:val="0"/>
        <w:spacing w:lineRule="auto" w:line="240" w:before="0" w:after="0"/>
        <w:jc w:val="both"/>
        <w:rPr/>
      </w:pPr>
      <w:r>
        <w:rPr>
          <w:rFonts w:eastAsia="Calibri" w:cs="Calibri"/>
          <w:b/>
          <w:bCs/>
          <w:color w:val="000000"/>
          <w:sz w:val="22"/>
          <w:szCs w:val="22"/>
        </w:rPr>
        <w:t xml:space="preserve">Treemap: Venta Perdida por Familia de Producto. </w:t>
      </w:r>
      <w:r>
        <w:rPr>
          <w:rFonts w:eastAsia="Calibri" w:cs="Calibri"/>
          <w:b w:val="false"/>
          <w:bCs w:val="false"/>
          <w:color w:val="000000"/>
          <w:sz w:val="22"/>
          <w:szCs w:val="22"/>
        </w:rPr>
        <w:t>Vista jerárquica de la distribución del lucro cesante. Pedrería y Aplicaciones domina en rojo — acción correctiva inmediata.</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pPr>
      <w:r>
        <w:rPr>
          <w:rFonts w:eastAsia="Calibri" w:cs="Calibri"/>
          <w:b/>
          <w:bCs/>
          <w:color w:val="2E75B6"/>
          <w:sz w:val="26"/>
          <w:szCs w:val="26"/>
        </w:rPr>
        <w:t>9.3 Página 3 — Optimización de Flujo de Caja (Prescriptiva)</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Propósito central: </w:t>
      </w:r>
      <w:r>
        <w:rPr>
          <w:rFonts w:eastAsia="Calibri" w:cs="Calibri"/>
          <w:b w:val="false"/>
          <w:bCs w:val="false"/>
          <w:color w:val="000000"/>
          <w:sz w:val="22"/>
          <w:szCs w:val="22"/>
        </w:rPr>
        <w:t>Responde la pregunta operativa: ¿Qué comprar, cuánto comprar y cuánto me va a costar? La prescripción está basada directamente en el modelo LGBMRegressor.</w:t>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t>KPIs del encabezado:</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tbl>
      <w:tblPr>
        <w:tblW w:w="9360" w:type="dxa"/>
        <w:jc w:val="start"/>
        <w:tblInd w:w="0" w:type="dxa"/>
        <w:tblLayout w:type="fixed"/>
        <w:tblCellMar>
          <w:top w:w="80" w:type="dxa"/>
          <w:start w:w="120" w:type="dxa"/>
          <w:bottom w:w="80" w:type="dxa"/>
          <w:end w:w="120" w:type="dxa"/>
        </w:tblCellMar>
      </w:tblPr>
      <w:tblGrid>
        <w:gridCol w:w="2880"/>
        <w:gridCol w:w="2160"/>
        <w:gridCol w:w="4320"/>
      </w:tblGrid>
      <w:tr>
        <w:trPr/>
        <w:tc>
          <w:tcPr>
            <w:tcW w:w="288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KPI</w:t>
            </w:r>
          </w:p>
        </w:tc>
        <w:tc>
          <w:tcPr>
            <w:tcW w:w="216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Valor Real</w:t>
            </w:r>
          </w:p>
        </w:tc>
        <w:tc>
          <w:tcPr>
            <w:tcW w:w="432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Interpretación de Negocio</w:t>
            </w:r>
          </w:p>
        </w:tc>
      </w:tr>
      <w:tr>
        <w:trPr/>
        <w:tc>
          <w:tcPr>
            <w:tcW w:w="28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Predicción ML (total)</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$9,315 uds</w:t>
            </w:r>
          </w:p>
        </w:tc>
        <w:tc>
          <w:tcPr>
            <w:tcW w:w="43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Suma de unidades que el modelo recomienda reponer — la lista de compra total.</w:t>
            </w:r>
          </w:p>
        </w:tc>
      </w:tr>
      <w:tr>
        <w:trPr/>
        <w:tc>
          <w:tcPr>
            <w:tcW w:w="28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Inversión Sugerida</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$148,841.12 MXN</w:t>
            </w:r>
          </w:p>
        </w:tc>
        <w:tc>
          <w:tcPr>
            <w:tcW w:w="43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Presupuesto necesario: Prediccion_IA × Costo_Unitario (DAX SUMX). El dinero que la dueña debe destinar.</w:t>
            </w:r>
          </w:p>
        </w:tc>
      </w:tr>
      <w:tr>
        <w:trPr/>
        <w:tc>
          <w:tcPr>
            <w:tcW w:w="28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Ganancia Proyectada ML</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$606,564.05 MXN</w:t>
            </w:r>
          </w:p>
        </w:tc>
        <w:tc>
          <w:tcPr>
            <w:tcW w:w="432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Retorno esperado: Prediccion_IA × Margen_Ganancia (DAX SUMX). El ROI anticipado de la compra.</w:t>
            </w:r>
          </w:p>
        </w:tc>
      </w:tr>
      <w:tr>
        <w:trPr/>
        <w:tc>
          <w:tcPr>
            <w:tcW w:w="28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Proyección Venta Perdida</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$0.00 MXN</w:t>
            </w:r>
          </w:p>
        </w:tc>
        <w:tc>
          <w:tcPr>
            <w:tcW w:w="432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Si se sigue la prescripción completa, el modelo no anticipa quiebres de stock en la temporada.</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Filtros: </w:t>
      </w:r>
      <w:r>
        <w:rPr>
          <w:rFonts w:eastAsia="Calibri" w:cs="Calibri"/>
          <w:b w:val="false"/>
          <w:bCs w:val="false"/>
          <w:color w:val="000000"/>
          <w:sz w:val="22"/>
          <w:szCs w:val="22"/>
        </w:rPr>
        <w:t>Mes, Familia de Productos — permiten segmentar la prescripción por categoría y periodo de compra.</w:t>
      </w:r>
    </w:p>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t>Visualizaciones y su propósito:</w:t>
      </w:r>
    </w:p>
    <w:p>
      <w:pPr>
        <w:pStyle w:val="Normal"/>
        <w:widowControl/>
        <w:bidi w:val="0"/>
        <w:spacing w:lineRule="auto" w:line="240" w:before="0" w:after="0"/>
        <w:ind w:hanging="0" w:start="0" w:end="0"/>
        <w:jc w:val="both"/>
        <w:rPr>
          <w:rFonts w:ascii="Calibri" w:hAnsi="Calibri" w:eastAsia="Calibri" w:cs="Calibri"/>
          <w:b/>
          <w:bCs/>
          <w:color w:val="000000"/>
          <w:sz w:val="22"/>
          <w:szCs w:val="22"/>
        </w:rPr>
      </w:pPr>
      <w:r>
        <w:rPr>
          <w:rFonts w:eastAsia="Calibri" w:cs="Calibri"/>
          <w:b/>
          <w:bCs/>
          <w:color w:val="000000"/>
          <w:sz w:val="22"/>
          <w:szCs w:val="22"/>
        </w:rPr>
      </w:r>
    </w:p>
    <w:p>
      <w:pPr>
        <w:pStyle w:val="ListParagraph"/>
        <w:widowControl/>
        <w:numPr>
          <w:ilvl w:val="0"/>
          <w:numId w:val="8"/>
        </w:numPr>
        <w:bidi w:val="0"/>
        <w:spacing w:lineRule="auto" w:line="240" w:before="0" w:after="0"/>
        <w:jc w:val="both"/>
        <w:rPr/>
      </w:pPr>
      <w:r>
        <w:rPr>
          <w:rFonts w:eastAsia="Calibri" w:cs="Calibri"/>
          <w:b/>
          <w:bCs/>
          <w:color w:val="000000"/>
          <w:sz w:val="22"/>
          <w:szCs w:val="22"/>
        </w:rPr>
        <w:t xml:space="preserve">Matriz Semáforo Prescriptivo (Macro_Familia → Material): </w:t>
      </w:r>
      <w:r>
        <w:rPr>
          <w:rFonts w:eastAsia="Calibri" w:cs="Calibri"/>
          <w:b w:val="false"/>
          <w:bCs w:val="false"/>
          <w:color w:val="000000"/>
          <w:sz w:val="22"/>
          <w:szCs w:val="22"/>
        </w:rPr>
        <w:t>Tabla jerárquica con formato condicional por cuatro niveles de urgencia. Es el elemento central y más accionable del dashboard — la dueña obtiene su lista de compra priorizada de un vistazo.</w:t>
      </w:r>
    </w:p>
    <w:p>
      <w:pPr>
        <w:pStyle w:val="Normal"/>
        <w:widowControl/>
        <w:bidi w:val="0"/>
        <w:spacing w:lineRule="auto" w:line="240" w:before="0" w:after="0"/>
        <w:ind w:hanging="0" w:start="0" w:end="0"/>
        <w:jc w:val="both"/>
        <w:rPr/>
      </w:pPr>
      <w:r>
        <w:rPr/>
      </w:r>
    </w:p>
    <w:tbl>
      <w:tblPr>
        <w:tblW w:w="9360" w:type="dxa"/>
        <w:jc w:val="start"/>
        <w:tblInd w:w="0" w:type="dxa"/>
        <w:tblLayout w:type="fixed"/>
        <w:tblCellMar>
          <w:top w:w="80" w:type="dxa"/>
          <w:start w:w="120" w:type="dxa"/>
          <w:bottom w:w="80" w:type="dxa"/>
          <w:end w:w="120" w:type="dxa"/>
        </w:tblCellMar>
      </w:tblPr>
      <w:tblGrid>
        <w:gridCol w:w="1437"/>
        <w:gridCol w:w="2403"/>
        <w:gridCol w:w="2157"/>
        <w:gridCol w:w="3363"/>
      </w:tblGrid>
      <w:tr>
        <w:trPr/>
        <w:tc>
          <w:tcPr>
            <w:tcW w:w="143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Semáforo</w:t>
            </w:r>
          </w:p>
        </w:tc>
        <w:tc>
          <w:tcPr>
            <w:tcW w:w="240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Nivel</w:t>
            </w:r>
          </w:p>
        </w:tc>
        <w:tc>
          <w:tcPr>
            <w:tcW w:w="215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Criterio (Prediccion_IA)</w:t>
            </w:r>
          </w:p>
        </w:tc>
        <w:tc>
          <w:tcPr>
            <w:tcW w:w="336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Acción Prescrita</w:t>
            </w:r>
          </w:p>
        </w:tc>
      </w:tr>
      <w:tr>
        <w:trPr/>
        <w:tc>
          <w:tcPr>
            <w:tcW w:w="1437"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w:t>
            </w:r>
          </w:p>
        </w:tc>
        <w:tc>
          <w:tcPr>
            <w:tcW w:w="2403"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Stock Sano</w:t>
            </w:r>
          </w:p>
        </w:tc>
        <w:tc>
          <w:tcPr>
            <w:tcW w:w="2157"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0 – 33 %</w:t>
            </w:r>
          </w:p>
        </w:tc>
        <w:tc>
          <w:tcPr>
            <w:tcW w:w="3363" w:type="dxa"/>
            <w:tcBorders>
              <w:top w:val="single" w:sz="4" w:space="0" w:color="BBBBBB"/>
              <w:start w:val="single" w:sz="4" w:space="0" w:color="BBBBBB"/>
              <w:bottom w:val="single" w:sz="4" w:space="0" w:color="BBBBBB"/>
              <w:end w:val="single" w:sz="4" w:space="0" w:color="BBBBBB"/>
            </w:tcBorders>
            <w:shd w:fill="D5F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No comprar — inventario suficiente</w:t>
            </w:r>
          </w:p>
        </w:tc>
      </w:tr>
      <w:tr>
        <w:trPr/>
        <w:tc>
          <w:tcPr>
            <w:tcW w:w="1437" w:type="dxa"/>
            <w:tcBorders>
              <w:top w:val="single" w:sz="4" w:space="0" w:color="BBBBBB"/>
              <w:start w:val="single" w:sz="4" w:space="0" w:color="BBBBBB"/>
              <w:bottom w:val="single" w:sz="4" w:space="0" w:color="BBBBBB"/>
              <w:end w:val="single" w:sz="4" w:space="0" w:color="BBBBBB"/>
            </w:tcBorders>
            <w:shd w:fill="FFF2CC"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w:t>
            </w:r>
          </w:p>
        </w:tc>
        <w:tc>
          <w:tcPr>
            <w:tcW w:w="2403" w:type="dxa"/>
            <w:tcBorders>
              <w:top w:val="single" w:sz="4" w:space="0" w:color="BBBBBB"/>
              <w:start w:val="single" w:sz="4" w:space="0" w:color="BBBBBB"/>
              <w:bottom w:val="single" w:sz="4" w:space="0" w:color="BBBBBB"/>
              <w:end w:val="single" w:sz="4" w:space="0" w:color="BBBBBB"/>
            </w:tcBorders>
            <w:shd w:fill="FFF2CC"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Alerta Baja</w:t>
            </w:r>
          </w:p>
        </w:tc>
        <w:tc>
          <w:tcPr>
            <w:tcW w:w="2157" w:type="dxa"/>
            <w:tcBorders>
              <w:top w:val="single" w:sz="4" w:space="0" w:color="BBBBBB"/>
              <w:start w:val="single" w:sz="4" w:space="0" w:color="BBBBBB"/>
              <w:bottom w:val="single" w:sz="4" w:space="0" w:color="BBBBBB"/>
              <w:end w:val="single" w:sz="4" w:space="0" w:color="BBBBBB"/>
            </w:tcBorders>
            <w:shd w:fill="FFF2CC"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34% – 66 %</w:t>
            </w:r>
          </w:p>
        </w:tc>
        <w:tc>
          <w:tcPr>
            <w:tcW w:w="3363" w:type="dxa"/>
            <w:tcBorders>
              <w:top w:val="single" w:sz="4" w:space="0" w:color="BBBBBB"/>
              <w:start w:val="single" w:sz="4" w:space="0" w:color="BBBBBB"/>
              <w:bottom w:val="single" w:sz="4" w:space="0" w:color="BBBBBB"/>
              <w:end w:val="single" w:sz="4" w:space="0" w:color="BBBBBB"/>
            </w:tcBorders>
            <w:shd w:fill="FFF2CC"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Compra preventiva opcional</w:t>
            </w:r>
          </w:p>
        </w:tc>
      </w:tr>
      <w:tr>
        <w:trPr/>
        <w:tc>
          <w:tcPr>
            <w:tcW w:w="1437"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w:t>
            </w:r>
          </w:p>
        </w:tc>
        <w:tc>
          <w:tcPr>
            <w:tcW w:w="2403"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Urgencia Crítica</w:t>
            </w:r>
          </w:p>
        </w:tc>
        <w:tc>
          <w:tcPr>
            <w:tcW w:w="2157"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66% – 100%</w:t>
            </w:r>
          </w:p>
        </w:tc>
        <w:tc>
          <w:tcPr>
            <w:tcW w:w="3363" w:type="dxa"/>
            <w:tcBorders>
              <w:top w:val="single" w:sz="4" w:space="0" w:color="BBBBBB"/>
              <w:start w:val="single" w:sz="4" w:space="0" w:color="BBBBBB"/>
              <w:bottom w:val="single" w:sz="4" w:space="0" w:color="BBBBBB"/>
              <w:end w:val="single" w:sz="4" w:space="0" w:color="BBBBBB"/>
            </w:tcBorders>
            <w:shd w:fill="FFE0E0"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Compra inmediata — riesgo de quiebre</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Materiales en rojo (Urgencia Crítica) para Carnaval 2026: </w:t>
      </w:r>
      <w:r>
        <w:rPr>
          <w:rFonts w:eastAsia="Calibri" w:cs="Calibri"/>
          <w:b w:val="false"/>
          <w:bCs w:val="false"/>
          <w:color w:val="000000"/>
          <w:sz w:val="22"/>
          <w:szCs w:val="22"/>
        </w:rPr>
        <w:t>Pedrería Cristal (1,581 uds), Pedrería Acrílico (1,545 uds), Lentejuela Plana Laser (834 uds), Lentejuela Plana Lluvia (823 uds), Aplicacion Planchable (822 uds).</w:t>
      </w:r>
    </w:p>
    <w:p>
      <w:pPr>
        <w:pStyle w:val="Normal"/>
        <w:widowControl/>
        <w:bidi w:val="0"/>
        <w:spacing w:lineRule="auto" w:line="240" w:before="0" w:after="0"/>
        <w:ind w:hanging="0" w:start="0" w:end="0"/>
        <w:jc w:val="both"/>
        <w:rPr/>
      </w:pPr>
      <w:r>
        <w:rPr/>
      </w:r>
    </w:p>
    <w:p>
      <w:pPr>
        <w:pStyle w:val="ListParagraph"/>
        <w:widowControl/>
        <w:numPr>
          <w:ilvl w:val="0"/>
          <w:numId w:val="9"/>
        </w:numPr>
        <w:bidi w:val="0"/>
        <w:spacing w:lineRule="auto" w:line="240" w:before="0" w:after="0"/>
        <w:jc w:val="both"/>
        <w:rPr/>
      </w:pPr>
      <w:r>
        <w:rPr>
          <w:rFonts w:eastAsia="Calibri" w:cs="Calibri"/>
          <w:b/>
          <w:bCs/>
          <w:color w:val="000000"/>
          <w:sz w:val="22"/>
          <w:szCs w:val="22"/>
        </w:rPr>
        <w:t xml:space="preserve">Donut chart: Inversión Sugerida por Familia de Color. </w:t>
      </w:r>
      <w:r>
        <w:rPr>
          <w:rFonts w:eastAsia="Calibri" w:cs="Calibri"/>
          <w:b w:val="false"/>
          <w:bCs w:val="false"/>
          <w:color w:val="000000"/>
          <w:sz w:val="22"/>
          <w:szCs w:val="22"/>
        </w:rPr>
        <w:t>Distribución del presupuesto de compra por gama cromática. Gris y Negro concentra el 40.06% ($59,625 MXN) — insumos de uso más versátil en confección.</w:t>
      </w:r>
    </w:p>
    <w:p>
      <w:pPr>
        <w:pStyle w:val="ListParagraph"/>
        <w:widowControl/>
        <w:numPr>
          <w:ilvl w:val="0"/>
          <w:numId w:val="9"/>
        </w:numPr>
        <w:bidi w:val="0"/>
        <w:spacing w:lineRule="auto" w:line="240" w:before="0" w:after="0"/>
        <w:jc w:val="both"/>
        <w:rPr/>
      </w:pPr>
      <w:r>
        <w:rPr>
          <w:rFonts w:eastAsia="Calibri" w:cs="Calibri"/>
          <w:b/>
          <w:bCs/>
          <w:color w:val="000000"/>
          <w:sz w:val="22"/>
          <w:szCs w:val="22"/>
        </w:rPr>
        <w:t xml:space="preserve">Gráfico de barras: Inversión Sugerida y Ganancia Proyectada por Familia. </w:t>
      </w:r>
      <w:r>
        <w:rPr>
          <w:rFonts w:eastAsia="Calibri" w:cs="Calibri"/>
          <w:b w:val="false"/>
          <w:bCs w:val="false"/>
          <w:color w:val="000000"/>
          <w:sz w:val="22"/>
          <w:szCs w:val="22"/>
        </w:rPr>
        <w:t>Comparativa visual que permite priorizar la inversión según el retorno esperado por categoría.</w:t>
      </w:r>
    </w:p>
    <w:p>
      <w:pPr>
        <w:pStyle w:val="ListParagraph"/>
        <w:widowControl/>
        <w:numPr>
          <w:ilvl w:val="0"/>
          <w:numId w:val="9"/>
        </w:numPr>
        <w:bidi w:val="0"/>
        <w:spacing w:lineRule="auto" w:line="240" w:before="0" w:after="0"/>
        <w:jc w:val="both"/>
        <w:rPr/>
      </w:pPr>
      <w:r>
        <w:rPr>
          <w:rFonts w:eastAsia="Calibri" w:cs="Calibri"/>
          <w:b/>
          <w:bCs/>
          <w:color w:val="000000"/>
          <w:sz w:val="22"/>
          <w:szCs w:val="22"/>
        </w:rPr>
        <w:t xml:space="preserve">Gráfico de barras: Predicción ML de Material a Comprar. </w:t>
      </w:r>
      <w:r>
        <w:rPr>
          <w:rFonts w:eastAsia="Calibri" w:cs="Calibri"/>
          <w:b w:val="false"/>
          <w:bCs w:val="false"/>
          <w:color w:val="000000"/>
          <w:sz w:val="22"/>
          <w:szCs w:val="22"/>
        </w:rPr>
        <w:t>Ranking ordenado de materiales por cantidad de unidades predichas — la lista de compra en formato ejecutable.</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9.4 Lógica Técnica de Integración Python — Power BI</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ListParagraph"/>
        <w:widowControl/>
        <w:numPr>
          <w:ilvl w:val="0"/>
          <w:numId w:val="10"/>
        </w:numPr>
        <w:bidi w:val="0"/>
        <w:spacing w:lineRule="auto" w:line="240" w:before="0" w:after="0"/>
        <w:jc w:val="both"/>
        <w:rPr/>
      </w:pPr>
      <w:r>
        <w:rPr>
          <w:rFonts w:eastAsia="Calibri" w:cs="Calibri"/>
          <w:b/>
          <w:bCs/>
          <w:color w:val="000000"/>
          <w:sz w:val="22"/>
          <w:szCs w:val="22"/>
        </w:rPr>
        <w:t xml:space="preserve">Exportación del modelo: </w:t>
      </w:r>
      <w:r>
        <w:rPr>
          <w:rFonts w:eastAsia="Calibri" w:cs="Calibri"/>
          <w:b w:val="false"/>
          <w:bCs w:val="false"/>
          <w:color w:val="000000"/>
          <w:sz w:val="22"/>
          <w:szCs w:val="22"/>
        </w:rPr>
        <w:t>save_model() de PyCaret genera el archivo “GEMELO_DIGITAL_MODELO_PRODUCCION.pkl” — pipeline completo incluyendo todas las transformaciones del preprocesamiento.</w:t>
      </w:r>
    </w:p>
    <w:p>
      <w:pPr>
        <w:pStyle w:val="ListParagraph"/>
        <w:widowControl/>
        <w:numPr>
          <w:ilvl w:val="0"/>
          <w:numId w:val="10"/>
        </w:numPr>
        <w:bidi w:val="0"/>
        <w:spacing w:lineRule="auto" w:line="240" w:before="0" w:after="0"/>
        <w:jc w:val="both"/>
        <w:rPr/>
      </w:pPr>
      <w:r>
        <w:rPr>
          <w:rFonts w:eastAsia="Calibri" w:cs="Calibri"/>
          <w:b/>
          <w:bCs/>
          <w:color w:val="000000"/>
          <w:sz w:val="22"/>
          <w:szCs w:val="22"/>
        </w:rPr>
        <w:t xml:space="preserve">Inferencia en Power Query: </w:t>
      </w:r>
      <w:r>
        <w:rPr>
          <w:rFonts w:eastAsia="Calibri" w:cs="Calibri"/>
          <w:b w:val="false"/>
          <w:bCs w:val="false"/>
          <w:color w:val="000000"/>
          <w:sz w:val="22"/>
          <w:szCs w:val="22"/>
        </w:rPr>
        <w:t>script Python ejecuta predict_model() sobre DATASET_ML_OOT.csv generando la columna Prediccion_IA directamente en el flujo de Power BI.</w:t>
      </w:r>
    </w:p>
    <w:p>
      <w:pPr>
        <w:pStyle w:val="ListParagraph"/>
        <w:widowControl/>
        <w:numPr>
          <w:ilvl w:val="0"/>
          <w:numId w:val="10"/>
        </w:numPr>
        <w:bidi w:val="0"/>
        <w:spacing w:lineRule="auto" w:line="240" w:before="0" w:after="0"/>
        <w:jc w:val="both"/>
        <w:rPr/>
      </w:pPr>
      <w:r>
        <w:rPr>
          <w:rFonts w:eastAsia="Calibri" w:cs="Calibri"/>
          <w:b/>
          <w:bCs/>
          <w:color w:val="000000"/>
          <w:sz w:val="22"/>
          <w:szCs w:val="22"/>
        </w:rPr>
        <w:t xml:space="preserve">Corrección bug Microsoft.OleDb.Date: </w:t>
      </w:r>
      <w:r>
        <w:rPr>
          <w:rFonts w:eastAsia="Calibri" w:cs="Calibri"/>
          <w:b w:val="false"/>
          <w:bCs w:val="false"/>
          <w:color w:val="000000"/>
          <w:sz w:val="22"/>
          <w:szCs w:val="22"/>
        </w:rPr>
        <w:t>columna Fecha convertida a texto en Power Query para resolver incompatibilidad nativa de fechas entre Python y Power BI.</w:t>
      </w:r>
    </w:p>
    <w:p>
      <w:pPr>
        <w:pStyle w:val="ListParagraph"/>
        <w:widowControl/>
        <w:numPr>
          <w:ilvl w:val="0"/>
          <w:numId w:val="10"/>
        </w:numPr>
        <w:bidi w:val="0"/>
        <w:spacing w:lineRule="auto" w:line="240" w:before="0" w:after="0"/>
        <w:jc w:val="both"/>
        <w:rPr/>
      </w:pPr>
      <w:r>
        <w:rPr>
          <w:rFonts w:eastAsia="Calibri" w:cs="Calibri"/>
          <w:b/>
          <w:bCs/>
          <w:color w:val="000000"/>
          <w:sz w:val="22"/>
          <w:szCs w:val="22"/>
        </w:rPr>
        <w:t xml:space="preserve">Prevención de Producto Cartesiano: </w:t>
      </w:r>
      <w:r>
        <w:rPr>
          <w:rFonts w:eastAsia="Calibri" w:cs="Calibri"/>
          <w:b w:val="false"/>
          <w:bCs w:val="false"/>
          <w:color w:val="000000"/>
          <w:sz w:val="22"/>
          <w:szCs w:val="22"/>
        </w:rPr>
        <w:t>relaciones DAX con CONTAINSSTRING entre tablas de dimensiones — garantiza jerarquía de productos sin cruces erróneos.</w:t>
      </w:r>
    </w:p>
    <w:p>
      <w:pPr>
        <w:pStyle w:val="ListParagraph"/>
        <w:widowControl/>
        <w:numPr>
          <w:ilvl w:val="0"/>
          <w:numId w:val="10"/>
        </w:numPr>
        <w:bidi w:val="0"/>
        <w:spacing w:lineRule="auto" w:line="240" w:before="0" w:after="0"/>
        <w:jc w:val="both"/>
        <w:rPr/>
      </w:pPr>
      <w:r>
        <w:rPr>
          <w:rFonts w:eastAsia="Calibri" w:cs="Calibri"/>
          <w:b/>
          <w:bCs/>
          <w:color w:val="000000"/>
          <w:sz w:val="22"/>
          <w:szCs w:val="22"/>
        </w:rPr>
        <w:t xml:space="preserve">Color_Hex dinámico: </w:t>
      </w:r>
      <w:r>
        <w:rPr>
          <w:rFonts w:eastAsia="Calibri" w:cs="Calibri"/>
          <w:b w:val="false"/>
          <w:bCs w:val="false"/>
          <w:color w:val="000000"/>
          <w:sz w:val="22"/>
          <w:szCs w:val="22"/>
        </w:rPr>
        <w:t>función DAX SWITCH asigna códigos hexadecimales exactos a los visuales sin asignación manual por color — mantenible y escalable.</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10. Conclusiones</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10.1 Técnicas</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ListParagraph"/>
        <w:widowControl/>
        <w:numPr>
          <w:ilvl w:val="0"/>
          <w:numId w:val="11"/>
        </w:numPr>
        <w:bidi w:val="0"/>
        <w:spacing w:lineRule="auto" w:line="240" w:before="0" w:after="0"/>
        <w:jc w:val="both"/>
        <w:rPr/>
      </w:pPr>
      <w:r>
        <w:rPr>
          <w:rFonts w:eastAsia="Calibri" w:cs="Calibri"/>
          <w:b/>
          <w:bCs/>
          <w:color w:val="000000"/>
          <w:sz w:val="22"/>
          <w:szCs w:val="22"/>
        </w:rPr>
        <w:t xml:space="preserve">Validación estadística exitosa: </w:t>
      </w:r>
      <w:r>
        <w:rPr>
          <w:rFonts w:eastAsia="Calibri" w:cs="Calibri"/>
          <w:b w:val="false"/>
          <w:bCs w:val="false"/>
          <w:color w:val="000000"/>
          <w:sz w:val="22"/>
          <w:szCs w:val="22"/>
        </w:rPr>
        <w:t>T = 17.30, p = 6.5×10⁻⁴² confirma que el Gemelo Digital replicó la estacionalidad de Carnaval con significancia extrema.</w:t>
      </w:r>
    </w:p>
    <w:p>
      <w:pPr>
        <w:pStyle w:val="ListParagraph"/>
        <w:widowControl/>
        <w:numPr>
          <w:ilvl w:val="0"/>
          <w:numId w:val="11"/>
        </w:numPr>
        <w:bidi w:val="0"/>
        <w:spacing w:lineRule="auto" w:line="240" w:before="0" w:after="0"/>
        <w:jc w:val="both"/>
        <w:rPr/>
      </w:pPr>
      <w:r>
        <w:rPr>
          <w:rFonts w:eastAsia="Calibri" w:cs="Calibri"/>
          <w:b/>
          <w:bCs/>
          <w:color w:val="000000"/>
          <w:sz w:val="22"/>
          <w:szCs w:val="22"/>
        </w:rPr>
        <w:t xml:space="preserve">Pipeline AutoML robusto: </w:t>
      </w:r>
      <w:r>
        <w:rPr>
          <w:rFonts w:eastAsia="Calibri" w:cs="Calibri"/>
          <w:b w:val="false"/>
          <w:bCs w:val="false"/>
          <w:color w:val="000000"/>
          <w:sz w:val="22"/>
          <w:szCs w:val="22"/>
        </w:rPr>
        <w:t>LGBMRegressor alcanzó RMSE = 5.53 uds en 2,097 transacciones nunca vistas (Carnaval 2026), demostrando generalización real.</w:t>
      </w:r>
    </w:p>
    <w:p>
      <w:pPr>
        <w:pStyle w:val="ListParagraph"/>
        <w:widowControl/>
        <w:numPr>
          <w:ilvl w:val="0"/>
          <w:numId w:val="11"/>
        </w:numPr>
        <w:bidi w:val="0"/>
        <w:spacing w:lineRule="auto" w:line="240" w:before="0" w:after="0"/>
        <w:jc w:val="both"/>
        <w:rPr/>
      </w:pPr>
      <w:r>
        <w:rPr>
          <w:rFonts w:eastAsia="Calibri" w:cs="Calibri"/>
          <w:b/>
          <w:bCs/>
          <w:color w:val="000000"/>
          <w:sz w:val="22"/>
          <w:szCs w:val="22"/>
        </w:rPr>
        <w:t xml:space="preserve">Auditoría de Data Leakage completada: </w:t>
      </w:r>
      <w:r>
        <w:rPr>
          <w:rFonts w:eastAsia="Calibri" w:cs="Calibri"/>
          <w:b w:val="false"/>
          <w:bCs w:val="false"/>
          <w:color w:val="000000"/>
          <w:sz w:val="22"/>
          <w:szCs w:val="22"/>
        </w:rPr>
        <w:t>10 variables con riesgo de fuga identificadas y bloqueadas; proceso documentado variable por variable en el Anexo A.</w:t>
      </w:r>
    </w:p>
    <w:p>
      <w:pPr>
        <w:pStyle w:val="ListParagraph"/>
        <w:widowControl/>
        <w:numPr>
          <w:ilvl w:val="0"/>
          <w:numId w:val="11"/>
        </w:numPr>
        <w:bidi w:val="0"/>
        <w:spacing w:lineRule="auto" w:line="240" w:before="0" w:after="0"/>
        <w:jc w:val="both"/>
        <w:rPr/>
      </w:pPr>
      <w:r>
        <w:rPr>
          <w:rFonts w:eastAsia="Calibri" w:cs="Calibri"/>
          <w:b/>
          <w:bCs/>
          <w:color w:val="000000"/>
          <w:sz w:val="22"/>
          <w:szCs w:val="22"/>
        </w:rPr>
        <w:t xml:space="preserve">Estabilidad del modelo: </w:t>
      </w:r>
      <w:r>
        <w:rPr>
          <w:rFonts w:eastAsia="Calibri" w:cs="Calibri"/>
          <w:b w:val="false"/>
          <w:bCs w:val="false"/>
          <w:color w:val="000000"/>
          <w:sz w:val="22"/>
          <w:szCs w:val="22"/>
        </w:rPr>
        <w:t>5-Fold CV con RMSE = 2.45 ± 0.01 confirma ausencia de overfitting en la Regresión Múltiple.</w:t>
      </w:r>
    </w:p>
    <w:p>
      <w:pPr>
        <w:pStyle w:val="ListParagraph"/>
        <w:widowControl/>
        <w:numPr>
          <w:ilvl w:val="0"/>
          <w:numId w:val="11"/>
        </w:numPr>
        <w:bidi w:val="0"/>
        <w:spacing w:lineRule="auto" w:line="240" w:before="0" w:after="0"/>
        <w:jc w:val="both"/>
        <w:rPr/>
      </w:pPr>
      <w:r>
        <w:rPr>
          <w:rFonts w:eastAsia="Calibri" w:cs="Calibri"/>
          <w:b/>
          <w:bCs/>
          <w:color w:val="000000"/>
          <w:sz w:val="22"/>
          <w:szCs w:val="22"/>
        </w:rPr>
        <w:t xml:space="preserve">Hallazgo de generalización: </w:t>
      </w:r>
      <w:r>
        <w:rPr>
          <w:rFonts w:eastAsia="Calibri" w:cs="Calibri"/>
          <w:b w:val="false"/>
          <w:bCs w:val="false"/>
          <w:color w:val="000000"/>
          <w:sz w:val="22"/>
          <w:szCs w:val="22"/>
        </w:rPr>
        <w:t>la Regresión Múltiple supera al AutoML en Tasa de Aciertos OOT (63.47% vs 53.93%) en el dominio sintético — resultado honestamente documentado, no omitido.</w:t>
      </w:r>
    </w:p>
    <w:p>
      <w:pPr>
        <w:pStyle w:val="Normal"/>
        <w:widowControl/>
        <w:bidi w:val="0"/>
        <w:spacing w:lineRule="auto" w:line="240" w:before="0" w:after="0"/>
        <w:ind w:hanging="0" w:start="0" w:end="0"/>
        <w:jc w:val="both"/>
        <w:rPr/>
      </w:pPr>
      <w:r>
        <w:rPr/>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t>10.2 De Negocio</w:t>
      </w:r>
    </w:p>
    <w:p>
      <w:pPr>
        <w:pStyle w:val="Heading2"/>
        <w:widowControl/>
        <w:bidi w:val="0"/>
        <w:spacing w:lineRule="auto" w:line="240" w:before="0" w:after="0"/>
        <w:ind w:hanging="0" w:start="0" w:end="0"/>
        <w:jc w:val="both"/>
        <w:rPr>
          <w:rFonts w:ascii="Calibri" w:hAnsi="Calibri" w:eastAsia="Calibri" w:cs="Calibri"/>
          <w:b/>
          <w:bCs/>
          <w:color w:val="2E75B6"/>
          <w:sz w:val="26"/>
          <w:szCs w:val="26"/>
        </w:rPr>
      </w:pPr>
      <w:r>
        <w:rPr>
          <w:rFonts w:eastAsia="Calibri" w:cs="Calibri"/>
          <w:b/>
          <w:bCs/>
          <w:color w:val="2E75B6"/>
          <w:sz w:val="26"/>
          <w:szCs w:val="26"/>
        </w:rPr>
      </w:r>
    </w:p>
    <w:p>
      <w:pPr>
        <w:pStyle w:val="ListParagraph"/>
        <w:widowControl/>
        <w:numPr>
          <w:ilvl w:val="0"/>
          <w:numId w:val="12"/>
        </w:numPr>
        <w:bidi w:val="0"/>
        <w:spacing w:lineRule="auto" w:line="240" w:before="0" w:after="0"/>
        <w:jc w:val="both"/>
        <w:rPr/>
      </w:pPr>
      <w:r>
        <w:rPr>
          <w:rFonts w:eastAsia="Calibri" w:cs="Calibri"/>
          <w:b/>
          <w:bCs/>
          <w:color w:val="000000"/>
          <w:sz w:val="22"/>
          <w:szCs w:val="22"/>
        </w:rPr>
        <w:t xml:space="preserve">ROI demostrado: </w:t>
      </w:r>
      <w:r>
        <w:rPr>
          <w:rFonts w:eastAsia="Calibri" w:cs="Calibri"/>
          <w:b w:val="false"/>
          <w:bCs w:val="false"/>
          <w:color w:val="000000"/>
          <w:sz w:val="22"/>
          <w:szCs w:val="22"/>
        </w:rPr>
        <w:t>$181,495.83 MXN liberados en capital de trabajo con el supuesto base del +40% de sobre-pedido.</w:t>
      </w:r>
    </w:p>
    <w:p>
      <w:pPr>
        <w:pStyle w:val="ListParagraph"/>
        <w:widowControl/>
        <w:numPr>
          <w:ilvl w:val="0"/>
          <w:numId w:val="12"/>
        </w:numPr>
        <w:bidi w:val="0"/>
        <w:spacing w:lineRule="auto" w:line="240" w:before="0" w:after="0"/>
        <w:jc w:val="both"/>
        <w:rPr/>
      </w:pPr>
      <w:r>
        <w:rPr>
          <w:rFonts w:eastAsia="Calibri" w:cs="Calibri"/>
          <w:b/>
          <w:bCs/>
          <w:color w:val="000000"/>
          <w:sz w:val="22"/>
          <w:szCs w:val="22"/>
        </w:rPr>
        <w:t xml:space="preserve">Robustez del caso de negocio: </w:t>
      </w:r>
      <w:r>
        <w:rPr>
          <w:rFonts w:eastAsia="Calibri" w:cs="Calibri"/>
          <w:b w:val="false"/>
          <w:bCs w:val="false"/>
          <w:color w:val="000000"/>
          <w:sz w:val="22"/>
          <w:szCs w:val="22"/>
        </w:rPr>
        <w:t>ROI positivo en 6 de 8 escenarios evaluados; umbral de rentabilidad a partir de +30% de sobre-pedido.</w:t>
      </w:r>
    </w:p>
    <w:p>
      <w:pPr>
        <w:pStyle w:val="ListParagraph"/>
        <w:widowControl/>
        <w:numPr>
          <w:ilvl w:val="0"/>
          <w:numId w:val="12"/>
        </w:numPr>
        <w:bidi w:val="0"/>
        <w:spacing w:lineRule="auto" w:line="240" w:before="0" w:after="0"/>
        <w:jc w:val="both"/>
        <w:rPr/>
      </w:pPr>
      <w:r>
        <w:rPr>
          <w:rFonts w:eastAsia="Calibri" w:cs="Calibri"/>
          <w:b/>
          <w:bCs/>
          <w:color w:val="000000"/>
          <w:sz w:val="22"/>
          <w:szCs w:val="22"/>
        </w:rPr>
        <w:t xml:space="preserve">Democratización del dato: </w:t>
      </w:r>
      <w:r>
        <w:rPr>
          <w:rFonts w:eastAsia="Calibri" w:cs="Calibri"/>
          <w:b w:val="false"/>
          <w:bCs w:val="false"/>
          <w:color w:val="000000"/>
          <w:sz w:val="22"/>
          <w:szCs w:val="22"/>
        </w:rPr>
        <w:t>el dashboard prescriptivo permite decisiones de compra basadas en datos sin que la dueña requiera conocimientos técnicos — semáforo accionable en tres colores.</w:t>
      </w:r>
    </w:p>
    <w:p>
      <w:pPr>
        <w:pStyle w:val="ListParagraph"/>
        <w:widowControl/>
        <w:numPr>
          <w:ilvl w:val="0"/>
          <w:numId w:val="12"/>
        </w:numPr>
        <w:bidi w:val="0"/>
        <w:spacing w:lineRule="auto" w:line="240" w:before="0" w:after="0"/>
        <w:jc w:val="both"/>
        <w:rPr/>
      </w:pPr>
      <w:r>
        <w:rPr>
          <w:rFonts w:eastAsia="Calibri" w:cs="Calibri"/>
          <w:b/>
          <w:bCs/>
          <w:color w:val="000000"/>
          <w:sz w:val="22"/>
          <w:szCs w:val="22"/>
        </w:rPr>
        <w:t xml:space="preserve">Prescripción accionable: </w:t>
      </w:r>
      <w:r>
        <w:rPr>
          <w:rFonts w:eastAsia="Calibri" w:cs="Calibri"/>
          <w:b w:val="false"/>
          <w:bCs w:val="false"/>
          <w:color w:val="000000"/>
          <w:sz w:val="22"/>
          <w:szCs w:val="22"/>
        </w:rPr>
        <w:t>inversión sugerida de $148,841.12 MXN con ganancia proyectada de $606,564.05 MXN para Carnaval 2026.</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Anexo A — Auditoría de Data Leakage y Linaje de Variables</w:t>
      </w:r>
    </w:p>
    <w:tbl>
      <w:tblPr>
        <w:tblW w:w="9895" w:type="dxa"/>
        <w:jc w:val="start"/>
        <w:tblInd w:w="0" w:type="dxa"/>
        <w:tblLayout w:type="fixed"/>
        <w:tblCellMar>
          <w:top w:w="80" w:type="dxa"/>
          <w:start w:w="120" w:type="dxa"/>
          <w:bottom w:w="80" w:type="dxa"/>
          <w:end w:w="120" w:type="dxa"/>
        </w:tblCellMar>
      </w:tblPr>
      <w:tblGrid>
        <w:gridCol w:w="2258"/>
        <w:gridCol w:w="1607"/>
        <w:gridCol w:w="3380"/>
        <w:gridCol w:w="2650"/>
      </w:tblGrid>
      <w:tr>
        <w:trPr/>
        <w:tc>
          <w:tcPr>
            <w:tcW w:w="2258"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Variable</w:t>
            </w:r>
          </w:p>
        </w:tc>
        <w:tc>
          <w:tcPr>
            <w:tcW w:w="160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Rol</w:t>
            </w:r>
          </w:p>
        </w:tc>
        <w:tc>
          <w:tcPr>
            <w:tcW w:w="338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Evolución</w:t>
            </w:r>
          </w:p>
        </w:tc>
        <w:tc>
          <w:tcPr>
            <w:tcW w:w="265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Justificación Técnica</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Fecha</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Año, Mes, Dia_Semana, Es_Fin_Semana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Descompuesta para capturar estacionalidad. En Power BI convertida a texto para resolver bug Microsoft.OleDb.Date.</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Ticket</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ID</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Eliminada</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Identificador único — causa overfitting severo. No aporta valor predictivo generalizable.</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SKU</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ID compuesto</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Excluida del ML</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Alta cardinalidad; duplica información de Material + Color + Tamaño. Imposibilita generalización a SKUs nuevos.</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Macro_Familia</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Macro_Familia_Real</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Mantenida en ML. En Power BI procesada con DAX FILTER + CONTAINSSTRING para corregir desalineación de catálogos.</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Material</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Mantenida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Nivel de granularidad central para predicción de inventario.</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Color_Hex</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Predictora/UI</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Color_Hex_Dinamico</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Doble función: (1) UI → código hexadecimal para Power BI; (2) Analítica → agrupa gamas cromáticas para tendencias de demanda. DAX SWITCH para automatización.</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Precio_Unitario_Lista</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Mantenida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 principal en Regresión Simple (β = 0.0015). Derivada como Margen_Ganancia_Real en Power BI para KPIs.</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Costo_Unitario_Proveedor</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Inversion_Sugerida</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Excluida del ML. Usada en DAX SUMX para calcular presupuesto de re-compra.</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Cant</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Respuesta (target)</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Mantenida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Variable objetivo del modelo. Núcleo del proyecto.</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Total_MXN</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Respuesta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Eliminada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Leakage directo: = Cant × Precio. Conocer el total implica conocer la cantidad vendida.</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Diferencia_vs_Lista</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Respuesta</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Eliminada</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Leakage: depende del Precio_Real, conocido solo después de cerrar la venta.</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Margen_Ganancia_Real</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Respuesta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Eliminada del ML</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Leakage: = (Precio_Real - Costo) × Cant. Requiere la cantidad vendida. Solo en KPIs Power BI.</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Stock_Post_Venta</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Respuesta</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Venta_Perdida</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Leakage temporal: estado post-transacción. Derivada Venta_Perdida para EDA; excluida del ML.</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Estatus_Resurtido</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Respuesta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Eliminada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Leakage causal: depende del evento a predecir.</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Lead_Time_Proveedor</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Pred./Resp.</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Lead_Time_Dias</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Renombrada para prevenir Schema Drift entre Jupyter y Power BI. Excluida del ML conservadoramente.</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Es_Festivo</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Predictora</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Mantenida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PyCaret determina su relevancia en feature selection. Captura festividades nacionales fuera del Carnaval.</w:t>
            </w:r>
          </w:p>
        </w:tc>
      </w:tr>
      <w:tr>
        <w:trPr/>
        <w:tc>
          <w:tcPr>
            <w:tcW w:w="225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Venta_Perdida</w:t>
            </w:r>
          </w:p>
        </w:tc>
        <w:tc>
          <w:tcPr>
            <w:tcW w:w="160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Control</w:t>
            </w:r>
          </w:p>
        </w:tc>
        <w:tc>
          <w:tcPr>
            <w:tcW w:w="33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Filtrada pre-modelo</w:t>
            </w:r>
          </w:p>
        </w:tc>
        <w:tc>
          <w:tcPr>
            <w:tcW w:w="265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Filtro: solo transacciones con Venta_Perdida == 0 entran al ML. La demanda latente queda fuera del alcance V1.</w:t>
            </w:r>
          </w:p>
        </w:tc>
      </w:tr>
      <w:tr>
        <w:trPr/>
        <w:tc>
          <w:tcPr>
            <w:tcW w:w="225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18"/>
                <w:szCs w:val="18"/>
              </w:rPr>
              <w:t>prediction_label</w:t>
            </w:r>
          </w:p>
        </w:tc>
        <w:tc>
          <w:tcPr>
            <w:tcW w:w="160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Salida ML</w:t>
            </w:r>
          </w:p>
        </w:tc>
        <w:tc>
          <w:tcPr>
            <w:tcW w:w="33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 xml:space="preserve">→ </w:t>
            </w:r>
            <w:r>
              <w:rPr>
                <w:rFonts w:eastAsia="Calibri" w:cs="Calibri"/>
                <w:b w:val="false"/>
                <w:bCs w:val="false"/>
                <w:color w:val="000000"/>
                <w:sz w:val="18"/>
                <w:szCs w:val="18"/>
              </w:rPr>
              <w:t>Prediccion_IA</w:t>
            </w:r>
          </w:p>
        </w:tc>
        <w:tc>
          <w:tcPr>
            <w:tcW w:w="265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18"/>
                <w:szCs w:val="18"/>
              </w:rPr>
              <w:t>Renombrada en Power Query para semántica de negocio. Cierre del ciclo: simulación → ML → decisión de compra.</w:t>
            </w:r>
          </w:p>
        </w:tc>
      </w:tr>
    </w:tbl>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pPr>
      <w:r>
        <w:rPr>
          <w:rFonts w:eastAsia="Calibri" w:cs="Calibri"/>
          <w:b/>
          <w:bCs/>
          <w:color w:val="1A3A5C"/>
          <w:sz w:val="32"/>
          <w:szCs w:val="32"/>
        </w:rPr>
        <w:t>Anexo B — Glosario Técnico</w:t>
      </w:r>
    </w:p>
    <w:p>
      <w:pPr>
        <w:pStyle w:val="Normal"/>
        <w:widowControl/>
        <w:bidi w:val="0"/>
        <w:spacing w:lineRule="auto" w:line="240" w:before="0" w:after="0"/>
        <w:ind w:hanging="0" w:start="0" w:end="0"/>
        <w:jc w:val="both"/>
        <w:rPr>
          <w:rFonts w:eastAsia="Calibri" w:cs="Calibri"/>
          <w:b/>
          <w:bCs/>
          <w:color w:val="000000"/>
          <w:sz w:val="22"/>
          <w:szCs w:val="22"/>
        </w:rPr>
      </w:pPr>
      <w:r>
        <w:rPr>
          <w:rFonts w:eastAsia="Calibri" w:cs="Calibri"/>
          <w:b/>
          <w:bCs/>
          <w:color w:val="000000"/>
          <w:sz w:val="22"/>
          <w:szCs w:val="22"/>
        </w:rPr>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AutoML (Automated Machine Learning): </w:t>
      </w:r>
      <w:r>
        <w:rPr>
          <w:rFonts w:eastAsia="Calibri" w:cs="Calibri"/>
          <w:b w:val="false"/>
          <w:bCs w:val="false"/>
          <w:color w:val="000000"/>
          <w:sz w:val="22"/>
          <w:szCs w:val="22"/>
        </w:rPr>
        <w:t>Automatización del proceso de selección y evaluación de algoritmos de ML. PyCaret entrenó y comparó múltiples modelos simultáneamente, garantizando selección objetiva del mejor algoritmo sin sesgo manual.</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Backward Elimination: </w:t>
      </w:r>
      <w:r>
        <w:rPr>
          <w:rFonts w:eastAsia="Calibri" w:cs="Calibri"/>
          <w:b w:val="false"/>
          <w:bCs w:val="false"/>
          <w:color w:val="000000"/>
          <w:sz w:val="22"/>
          <w:szCs w:val="22"/>
        </w:rPr>
        <w:t>Algoritmo de selección de variables que parte del modelo completo y elimina iterativamente las variables con p-value &gt; 0.05, hasta que todas las restantes sean estadísticamente significativas.</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Cross-Validation (Validación Cruzada 5-Fold): </w:t>
      </w:r>
      <w:r>
        <w:rPr>
          <w:rFonts w:eastAsia="Calibri" w:cs="Calibri"/>
          <w:b w:val="false"/>
          <w:bCs w:val="false"/>
          <w:color w:val="000000"/>
          <w:sz w:val="22"/>
          <w:szCs w:val="22"/>
        </w:rPr>
        <w:t>Técnica de evaluación que divide el dataset en 5 subconjuntos, entrenando y probando iterativamente. Garantiza que el modelo aprenda patrones reales y no memorice datos.</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DAX (Data Analysis Expressions): </w:t>
      </w:r>
      <w:r>
        <w:rPr>
          <w:rFonts w:eastAsia="Calibri" w:cs="Calibri"/>
          <w:b w:val="false"/>
          <w:bCs w:val="false"/>
          <w:color w:val="000000"/>
          <w:sz w:val="22"/>
          <w:szCs w:val="22"/>
        </w:rPr>
        <w:t>Lenguaje de Power BI para cálculos dinámicos. Usado para KPIs con SUMX, corrección de jerarquías con CONTAINSSTRING y asignación de colores con SWITCH.</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Data Drift / Schema Drift: </w:t>
      </w:r>
      <w:r>
        <w:rPr>
          <w:rFonts w:eastAsia="Calibri" w:cs="Calibri"/>
          <w:b w:val="false"/>
          <w:bCs w:val="false"/>
          <w:color w:val="000000"/>
          <w:sz w:val="22"/>
          <w:szCs w:val="22"/>
        </w:rPr>
        <w:t>Desviación estadística o estructural de los datos nuevos respecto a los de entrenamiento. Se mitigó estandarizando nombres de variables entre Jupyter y Power BI.</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Data Leakage: </w:t>
      </w:r>
      <w:r>
        <w:rPr>
          <w:rFonts w:eastAsia="Calibri" w:cs="Calibri"/>
          <w:b w:val="false"/>
          <w:bCs w:val="false"/>
          <w:color w:val="000000"/>
          <w:sz w:val="22"/>
          <w:szCs w:val="22"/>
        </w:rPr>
        <w:t>Contaminación del modelo con información no disponible al momento de la predicción. Produce métricas artificialmente optimistas que no se reproducen en producción.</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Gemelo Digital: </w:t>
      </w:r>
      <w:r>
        <w:rPr>
          <w:rFonts w:eastAsia="Calibri" w:cs="Calibri"/>
          <w:b w:val="false"/>
          <w:bCs w:val="false"/>
          <w:color w:val="000000"/>
          <w:sz w:val="22"/>
          <w:szCs w:val="22"/>
        </w:rPr>
        <w:t>Representación virtual de un sistema real construida con datos simulados. Permite experimentar con estrategias sin riesgo de capital real.</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Holding Cost: </w:t>
      </w:r>
      <w:r>
        <w:rPr>
          <w:rFonts w:eastAsia="Calibri" w:cs="Calibri"/>
          <w:b w:val="false"/>
          <w:bCs w:val="false"/>
          <w:color w:val="000000"/>
          <w:sz w:val="22"/>
          <w:szCs w:val="22"/>
        </w:rPr>
        <w:t>Costo anual de mantener inventario almacenado (15% del valor). Incluye almacenamiento, mermas y costo de oportunidad del capital.</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LGBMRegressor: </w:t>
      </w:r>
      <w:r>
        <w:rPr>
          <w:rFonts w:eastAsia="Calibri" w:cs="Calibri"/>
          <w:b w:val="false"/>
          <w:bCs w:val="false"/>
          <w:color w:val="000000"/>
          <w:sz w:val="22"/>
          <w:szCs w:val="22"/>
        </w:rPr>
        <w:t>Light Gradient Boosting Machine. Modelo campeón — algoritmo de ensamble basado en árboles de decisión con boosting por gradiente, optimizado para velocidad y eficiencia de memoria.</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Out-of-Time (OOT) / Blind Test: </w:t>
      </w:r>
      <w:r>
        <w:rPr>
          <w:rFonts w:eastAsia="Calibri" w:cs="Calibri"/>
          <w:b w:val="false"/>
          <w:bCs w:val="false"/>
          <w:color w:val="000000"/>
          <w:sz w:val="22"/>
          <w:szCs w:val="22"/>
        </w:rPr>
        <w:t>Dataset cronológicamente posterior al entrenamiento. Simula producción real y es la prueba de fuego definitiva del modelo.</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RMSE: </w:t>
      </w:r>
      <w:r>
        <w:rPr>
          <w:rFonts w:eastAsia="Calibri" w:cs="Calibri"/>
          <w:b w:val="false"/>
          <w:bCs w:val="false"/>
          <w:color w:val="000000"/>
          <w:sz w:val="22"/>
          <w:szCs w:val="22"/>
        </w:rPr>
        <w:t>Raíz del Error Cuadrático Medio. Mide el error de predicción en las mismas unidades que la variable objetivo (unidades de inventario). Penaliza errores grandes.</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Sesgo Circular: </w:t>
      </w:r>
      <w:r>
        <w:rPr>
          <w:rFonts w:eastAsia="Calibri" w:cs="Calibri"/>
          <w:b w:val="false"/>
          <w:bCs w:val="false"/>
          <w:color w:val="000000"/>
          <w:sz w:val="22"/>
          <w:szCs w:val="22"/>
        </w:rPr>
        <w:t>Riesgo donde el modelo es evaluado sobre datos del mismo motor que los de entrenamiento, produciendo métricas potencialmente optimistas. Documentado y mitigado con semilla distinta en el OOT.</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Tasa de Aciertos Operativos: </w:t>
      </w:r>
      <w:r>
        <w:rPr>
          <w:rFonts w:eastAsia="Calibri" w:cs="Calibri"/>
          <w:b w:val="false"/>
          <w:bCs w:val="false"/>
          <w:color w:val="000000"/>
          <w:sz w:val="22"/>
          <w:szCs w:val="22"/>
        </w:rPr>
        <w:t>Porcentaje de predicciones dentro del margen ±15% de tolerancia (mínimo ±3 unidades). Métrica de negocio directamente accionable para decisiones de inventario.</w:t>
      </w:r>
    </w:p>
    <w:p>
      <w:pPr>
        <w:pStyle w:val="Normal"/>
        <w:widowControl/>
        <w:numPr>
          <w:ilvl w:val="0"/>
          <w:numId w:val="13"/>
        </w:numPr>
        <w:bidi w:val="0"/>
        <w:spacing w:lineRule="auto" w:line="240" w:before="0" w:after="0"/>
        <w:jc w:val="both"/>
        <w:rPr/>
      </w:pPr>
      <w:r>
        <w:rPr>
          <w:rFonts w:eastAsia="Calibri" w:cs="Calibri"/>
          <w:b/>
          <w:bCs/>
          <w:color w:val="000000"/>
          <w:sz w:val="22"/>
          <w:szCs w:val="22"/>
        </w:rPr>
        <w:t xml:space="preserve">Welch's T-Test: </w:t>
      </w:r>
      <w:r>
        <w:rPr>
          <w:rFonts w:eastAsia="Calibri" w:cs="Calibri"/>
          <w:b w:val="false"/>
          <w:bCs w:val="false"/>
          <w:color w:val="000000"/>
          <w:sz w:val="22"/>
          <w:szCs w:val="22"/>
        </w:rPr>
        <w:t>Prueba de hipótesis para comparar medias de dos grupos con varianzas distintas. Validó matemáticamente el efecto Carnaval (T = 17.30, p = 6.5×10⁻⁴²).</w:t>
      </w:r>
    </w:p>
    <w:p>
      <w:pPr>
        <w:pStyle w:val="Normal"/>
        <w:widowControl/>
        <w:bidi w:val="0"/>
        <w:spacing w:lineRule="auto" w:line="240" w:before="0" w:after="0"/>
        <w:ind w:hanging="0" w:start="0" w:end="0"/>
        <w:jc w:val="both"/>
        <w:rPr/>
      </w:pPr>
      <w:r>
        <w:rPr/>
      </w:r>
      <w:r>
        <w:br w:type="page"/>
      </w:r>
    </w:p>
    <w:p>
      <w:pPr>
        <w:pStyle w:val="Heading1"/>
        <w:widowControl/>
        <w:pBdr>
          <w:bottom w:val="single" w:sz="8" w:space="4" w:color="2E75B6"/>
        </w:pBdr>
        <w:bidi w:val="0"/>
        <w:spacing w:lineRule="auto" w:line="240" w:before="0" w:after="0"/>
        <w:ind w:hanging="0" w:start="0" w:end="0"/>
        <w:jc w:val="both"/>
        <w:rPr>
          <w:rFonts w:ascii="Calibri" w:hAnsi="Calibri" w:eastAsia="Calibri" w:cs="Calibri"/>
          <w:b/>
          <w:bCs/>
          <w:color w:val="1A3A5C"/>
          <w:sz w:val="32"/>
          <w:szCs w:val="32"/>
        </w:rPr>
      </w:pPr>
      <w:r>
        <w:rPr>
          <w:rFonts w:eastAsia="Calibri" w:cs="Calibri"/>
          <w:b/>
          <w:bCs/>
          <w:color w:val="1A3A5C"/>
          <w:sz w:val="32"/>
          <w:szCs w:val="32"/>
        </w:rPr>
        <w:t>Anexo C — Roadmap de Transición a Datos Reales</w:t>
      </w:r>
    </w:p>
    <w:p>
      <w:pPr>
        <w:pStyle w:val="Heading1"/>
        <w:widowControl/>
        <w:pBdr>
          <w:bottom w:val="single" w:sz="8" w:space="4" w:color="2E75B6"/>
        </w:pBdr>
        <w:bidi w:val="0"/>
        <w:spacing w:lineRule="auto" w:line="240" w:before="0" w:after="0"/>
        <w:ind w:hanging="0" w:start="0" w:end="0"/>
        <w:jc w:val="both"/>
        <w:rPr>
          <w:rFonts w:ascii="Calibri" w:hAnsi="Calibri" w:eastAsia="Calibri" w:cs="Calibri"/>
          <w:b/>
          <w:bCs/>
          <w:color w:val="1A3A5C"/>
          <w:sz w:val="32"/>
          <w:szCs w:val="32"/>
        </w:rPr>
      </w:pPr>
      <w:r>
        <w:rPr>
          <w:rFonts w:eastAsia="Calibri" w:cs="Calibri"/>
          <w:b/>
          <w:bCs/>
          <w:color w:val="1A3A5C"/>
          <w:sz w:val="32"/>
          <w:szCs w:val="32"/>
        </w:rPr>
      </w:r>
    </w:p>
    <w:tbl>
      <w:tblPr>
        <w:tblW w:w="9360" w:type="dxa"/>
        <w:jc w:val="start"/>
        <w:tblInd w:w="0" w:type="dxa"/>
        <w:tblLayout w:type="fixed"/>
        <w:tblCellMar>
          <w:top w:w="80" w:type="dxa"/>
          <w:start w:w="120" w:type="dxa"/>
          <w:bottom w:w="80" w:type="dxa"/>
          <w:end w:w="120" w:type="dxa"/>
        </w:tblCellMar>
      </w:tblPr>
      <w:tblGrid>
        <w:gridCol w:w="1080"/>
        <w:gridCol w:w="2160"/>
        <w:gridCol w:w="3238"/>
        <w:gridCol w:w="2882"/>
      </w:tblGrid>
      <w:tr>
        <w:trPr/>
        <w:tc>
          <w:tcPr>
            <w:tcW w:w="108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Fase</w:t>
            </w:r>
          </w:p>
        </w:tc>
        <w:tc>
          <w:tcPr>
            <w:tcW w:w="216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Actividad</w:t>
            </w:r>
          </w:p>
        </w:tc>
        <w:tc>
          <w:tcPr>
            <w:tcW w:w="3238"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Detalle</w:t>
            </w:r>
          </w:p>
        </w:tc>
        <w:tc>
          <w:tcPr>
            <w:tcW w:w="2882"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Duración Estimada</w:t>
            </w:r>
          </w:p>
        </w:tc>
      </w:tr>
      <w:tr>
        <w:trPr/>
        <w:tc>
          <w:tcPr>
            <w:tcW w:w="10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1</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Captura de datos reales</w:t>
            </w:r>
          </w:p>
        </w:tc>
        <w:tc>
          <w:tcPr>
            <w:tcW w:w="323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Implementar punto de venta digital (POS o cuaderno Excel estructurado) durante al menos una temporada completa. Medir sobre-pedido real del dueño para calibrar el supuesto del 40%.</w:t>
            </w:r>
          </w:p>
        </w:tc>
        <w:tc>
          <w:tcPr>
            <w:tcW w:w="2882"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3–6 meses (Marcha Blanca)</w:t>
            </w:r>
          </w:p>
        </w:tc>
      </w:tr>
      <w:tr>
        <w:trPr/>
        <w:tc>
          <w:tcPr>
            <w:tcW w:w="108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2</w:t>
            </w:r>
          </w:p>
        </w:tc>
        <w:tc>
          <w:tcPr>
            <w:tcW w:w="216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Reentrenamiento del modelo</w:t>
            </w:r>
          </w:p>
        </w:tc>
        <w:tc>
          <w:tcPr>
            <w:tcW w:w="3238"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Reemplazar datos sintéticos por histórico real. Reentrenar el pipeline completo con PyCaret. Validar si LGBMRegressor sigue siendo el campeón o actualizar.</w:t>
            </w:r>
          </w:p>
        </w:tc>
        <w:tc>
          <w:tcPr>
            <w:tcW w:w="2882"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1–2 semanas</w:t>
            </w:r>
          </w:p>
        </w:tc>
      </w:tr>
      <w:tr>
        <w:trPr/>
        <w:tc>
          <w:tcPr>
            <w:tcW w:w="108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3</w:t>
            </w:r>
          </w:p>
        </w:tc>
        <w:tc>
          <w:tcPr>
            <w:tcW w:w="216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Monitoreo y Data Drift</w:t>
            </w:r>
          </w:p>
        </w:tc>
        <w:tc>
          <w:tcPr>
            <w:tcW w:w="3238"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Implementar alertas de desviación estadística del modelo. Programar reentrenamiento semestral. Incorporar Lead_Time_Dias como predictor con datos reales consistentes.</w:t>
            </w:r>
          </w:p>
        </w:tc>
        <w:tc>
          <w:tcPr>
            <w:tcW w:w="2882"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Continuo</w:t>
            </w:r>
          </w:p>
        </w:tc>
      </w:tr>
    </w:tbl>
    <w:p>
      <w:pPr>
        <w:pStyle w:val="Normal"/>
        <w:widowControl/>
        <w:bidi w:val="0"/>
        <w:spacing w:lineRule="auto" w:line="240" w:before="0" w:after="0"/>
        <w:ind w:hanging="0" w:start="0" w:end="0"/>
        <w:jc w:val="both"/>
        <w:rPr/>
      </w:pPr>
      <w:r>
        <w:rPr/>
      </w:r>
    </w:p>
    <w:p>
      <w:pPr>
        <w:pStyle w:val="Heading1"/>
        <w:widowControl/>
        <w:pBdr>
          <w:bottom w:val="single" w:sz="8" w:space="4" w:color="2E75B6"/>
        </w:pBdr>
        <w:bidi w:val="0"/>
        <w:spacing w:lineRule="auto" w:line="240" w:before="0" w:after="0"/>
        <w:ind w:hanging="0" w:start="0" w:end="0"/>
        <w:jc w:val="both"/>
        <w:rPr>
          <w:rFonts w:ascii="Calibri" w:hAnsi="Calibri" w:eastAsia="Calibri" w:cs="Calibri"/>
          <w:b/>
          <w:bCs/>
          <w:color w:val="1A3A5C"/>
          <w:sz w:val="32"/>
          <w:szCs w:val="32"/>
        </w:rPr>
      </w:pPr>
      <w:r>
        <w:rPr>
          <w:rFonts w:eastAsia="Calibri" w:cs="Calibri"/>
          <w:b/>
          <w:bCs/>
          <w:color w:val="1A3A5C"/>
          <w:sz w:val="32"/>
          <w:szCs w:val="32"/>
        </w:rPr>
        <w:t>Anexo D — Stack Tecnológico</w:t>
      </w:r>
    </w:p>
    <w:p>
      <w:pPr>
        <w:pStyle w:val="Heading1"/>
        <w:widowControl/>
        <w:pBdr>
          <w:bottom w:val="single" w:sz="8" w:space="4" w:color="2E75B6"/>
        </w:pBdr>
        <w:bidi w:val="0"/>
        <w:spacing w:lineRule="auto" w:line="240" w:before="0" w:after="0"/>
        <w:ind w:hanging="0" w:start="0" w:end="0"/>
        <w:jc w:val="both"/>
        <w:rPr>
          <w:rFonts w:ascii="Calibri" w:hAnsi="Calibri" w:eastAsia="Calibri" w:cs="Calibri"/>
          <w:b/>
          <w:bCs/>
          <w:color w:val="1A3A5C"/>
          <w:sz w:val="32"/>
          <w:szCs w:val="32"/>
        </w:rPr>
      </w:pPr>
      <w:r>
        <w:rPr>
          <w:rFonts w:eastAsia="Calibri" w:cs="Calibri"/>
          <w:b/>
          <w:bCs/>
          <w:color w:val="1A3A5C"/>
          <w:sz w:val="32"/>
          <w:szCs w:val="32"/>
        </w:rPr>
      </w:r>
    </w:p>
    <w:tbl>
      <w:tblPr>
        <w:tblW w:w="9360" w:type="dxa"/>
        <w:jc w:val="start"/>
        <w:tblInd w:w="0" w:type="dxa"/>
        <w:tblLayout w:type="fixed"/>
        <w:tblCellMar>
          <w:top w:w="80" w:type="dxa"/>
          <w:start w:w="120" w:type="dxa"/>
          <w:bottom w:w="80" w:type="dxa"/>
          <w:end w:w="120" w:type="dxa"/>
        </w:tblCellMar>
      </w:tblPr>
      <w:tblGrid>
        <w:gridCol w:w="2517"/>
        <w:gridCol w:w="1800"/>
        <w:gridCol w:w="5043"/>
      </w:tblGrid>
      <w:tr>
        <w:trPr/>
        <w:tc>
          <w:tcPr>
            <w:tcW w:w="2517"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Herramienta</w:t>
            </w:r>
          </w:p>
        </w:tc>
        <w:tc>
          <w:tcPr>
            <w:tcW w:w="1800"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Versión</w:t>
            </w:r>
          </w:p>
        </w:tc>
        <w:tc>
          <w:tcPr>
            <w:tcW w:w="5043" w:type="dxa"/>
            <w:tcBorders>
              <w:top w:val="single" w:sz="6" w:space="0" w:color="2E75B6"/>
              <w:start w:val="single" w:sz="4" w:space="0" w:color="BBBBBB"/>
              <w:bottom w:val="single" w:sz="6" w:space="0" w:color="2E75B6"/>
              <w:end w:val="single" w:sz="4" w:space="0" w:color="BBBBBB"/>
            </w:tcBorders>
            <w:shd w:fill="2E75B6" w:val="clear"/>
            <w:vAlign w:val="center"/>
          </w:tcPr>
          <w:p>
            <w:pPr>
              <w:pStyle w:val="Normal"/>
              <w:widowControl/>
              <w:bidi w:val="0"/>
              <w:spacing w:lineRule="auto" w:line="240" w:before="0" w:after="0"/>
              <w:ind w:hanging="0" w:start="0" w:end="0"/>
              <w:jc w:val="both"/>
              <w:rPr/>
            </w:pPr>
            <w:r>
              <w:rPr>
                <w:rFonts w:eastAsia="Calibri" w:cs="Calibri"/>
                <w:b/>
                <w:bCs/>
                <w:color w:val="FFFFFF"/>
                <w:sz w:val="20"/>
                <w:szCs w:val="20"/>
              </w:rPr>
              <w:t>Uso en el Proyecto</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Python</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3.11</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Lenguaje base del notebook de desarrollo</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PyCaret</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3.3.2</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AutoML, pipeline de preprocesamiento y exportación del modelo</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LightGBM</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Interna PyCaret</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Modelo campeón — Light Gradient Boosting Machine</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pandas</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2.0</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Manipulación, merge y Feature Engineering</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statsmodels</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0.14</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Regresión clásica, Backward Elimination, pruebas de supuestos (DW, BP, JB)</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scikit-learn</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1.3</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Validación cruzada 5-Fold, métricas (RMSE, R²)</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Sweetviz</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2.3.3</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Auto-EDA comparativo Carnaval vs. Resto del año</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YData-Profiling</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4.18.4</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Perfilamiento automatizado completo del Dataset Maestro</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Plotly</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5.18</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Dashboard interactivo de KPIs históricos en el notebook</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matplotlib / seaborn</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3.7</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Gráficas estadísticas, matriz de correlación, diagramas de dispersión</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holidays</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0.46</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Detección y clasificación de días festivos nacionales (México)</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scipy</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 xml:space="preserve">≥ </w:t>
            </w:r>
            <w:r>
              <w:rPr>
                <w:rFonts w:eastAsia="Calibri" w:cs="Calibri"/>
                <w:b w:val="false"/>
                <w:bCs w:val="false"/>
                <w:color w:val="000000"/>
                <w:sz w:val="20"/>
                <w:szCs w:val="20"/>
              </w:rPr>
              <w:t>1.11</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Welch's T-Test y pruebas estadísticas adicionales</w:t>
            </w:r>
          </w:p>
        </w:tc>
      </w:tr>
      <w:tr>
        <w:trPr/>
        <w:tc>
          <w:tcPr>
            <w:tcW w:w="2517"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Power BI Desktop</w:t>
            </w:r>
          </w:p>
        </w:tc>
        <w:tc>
          <w:tcPr>
            <w:tcW w:w="1800"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2026.03</w:t>
            </w:r>
          </w:p>
        </w:tc>
        <w:tc>
          <w:tcPr>
            <w:tcW w:w="5043" w:type="dxa"/>
            <w:tcBorders>
              <w:top w:val="single" w:sz="4" w:space="0" w:color="BBBBBB"/>
              <w:start w:val="single" w:sz="4" w:space="0" w:color="BBBBBB"/>
              <w:bottom w:val="single" w:sz="4" w:space="0" w:color="BBBBBB"/>
              <w:end w:val="single" w:sz="4" w:space="0" w:color="BBBBBB"/>
            </w:tcBorders>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Dashboard prescriptivo de 3 páginas + integración Python</w:t>
            </w:r>
          </w:p>
        </w:tc>
      </w:tr>
      <w:tr>
        <w:trPr/>
        <w:tc>
          <w:tcPr>
            <w:tcW w:w="2517"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bCs/>
                <w:color w:val="000000"/>
                <w:sz w:val="20"/>
                <w:szCs w:val="20"/>
              </w:rPr>
              <w:t>Google Colab</w:t>
            </w:r>
          </w:p>
        </w:tc>
        <w:tc>
          <w:tcPr>
            <w:tcW w:w="1800"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2025.07</w:t>
            </w:r>
          </w:p>
        </w:tc>
        <w:tc>
          <w:tcPr>
            <w:tcW w:w="5043" w:type="dxa"/>
            <w:tcBorders>
              <w:top w:val="single" w:sz="4" w:space="0" w:color="BBBBBB"/>
              <w:start w:val="single" w:sz="4" w:space="0" w:color="BBBBBB"/>
              <w:bottom w:val="single" w:sz="4" w:space="0" w:color="BBBBBB"/>
              <w:end w:val="single" w:sz="4" w:space="0" w:color="BBBBBB"/>
            </w:tcBorders>
            <w:shd w:fill="F4F4F4" w:val="clear"/>
            <w:vAlign w:val="center"/>
          </w:tcPr>
          <w:p>
            <w:pPr>
              <w:pStyle w:val="Normal"/>
              <w:widowControl/>
              <w:bidi w:val="0"/>
              <w:spacing w:lineRule="auto" w:line="240" w:before="0" w:after="0"/>
              <w:ind w:hanging="0" w:start="0" w:end="0"/>
              <w:jc w:val="both"/>
              <w:rPr/>
            </w:pPr>
            <w:r>
              <w:rPr>
                <w:rFonts w:eastAsia="Calibri" w:cs="Calibri"/>
                <w:b w:val="false"/>
                <w:bCs w:val="false"/>
                <w:color w:val="000000"/>
                <w:sz w:val="20"/>
                <w:szCs w:val="20"/>
              </w:rPr>
              <w:t>Entorno de ejecución final para la entrega</w:t>
            </w:r>
          </w:p>
        </w:tc>
      </w:tr>
    </w:tbl>
    <w:p>
      <w:pPr>
        <w:pStyle w:val="Normal"/>
        <w:widowControl/>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
    </w:p>
    <w:p>
      <w:pPr>
        <w:pStyle w:val="Normal"/>
        <w:widowControl/>
        <w:pBdr>
          <w:bottom w:val="single" w:sz="6" w:space="2" w:color="2E75B6"/>
        </w:pBdr>
        <w:bidi w:val="0"/>
        <w:spacing w:lineRule="auto" w:line="240" w:before="0" w:after="0"/>
        <w:ind w:hanging="0" w:start="0" w:end="0"/>
        <w:jc w:val="both"/>
        <w:rPr/>
      </w:pPr>
      <w:r>
        <w:rPr/>
      </w:r>
    </w:p>
    <w:p>
      <w:pPr>
        <w:pStyle w:val="Normal"/>
        <w:widowControl/>
        <w:bidi w:val="0"/>
        <w:spacing w:lineRule="auto" w:line="240" w:before="0" w:after="0"/>
        <w:ind w:hanging="0" w:start="0" w:end="0"/>
        <w:jc w:val="both"/>
        <w:rPr/>
      </w:pPr>
      <w:r>
        <w:rPr>
          <w:rFonts w:eastAsia="Calibri" w:cs="Calibri"/>
          <w:b/>
          <w:bCs/>
          <w:color w:val="000000"/>
          <w:sz w:val="22"/>
          <w:szCs w:val="22"/>
        </w:rPr>
        <w:t xml:space="preserve">Nota de entrega: </w:t>
      </w:r>
      <w:r>
        <w:rPr>
          <w:rFonts w:eastAsia="Calibri" w:cs="Calibri"/>
          <w:b w:val="false"/>
          <w:bCs w:val="false"/>
          <w:color w:val="000000"/>
          <w:sz w:val="22"/>
          <w:szCs w:val="22"/>
        </w:rPr>
        <w:t xml:space="preserve">El presente documento es el entregable formal del PIDA para la certificación Citizen Data Scientist del Tecnológico de Monterrey — The Learning Gate, Abril 2026. La evidencia técnica completa se encuentra en el notebook </w:t>
      </w:r>
      <w:r>
        <w:rPr>
          <w:rFonts w:eastAsia="Calibri" w:cs="Calibri"/>
          <w:b w:val="false"/>
          <w:bCs w:val="false"/>
          <w:color w:val="595959"/>
          <w:sz w:val="22"/>
          <w:szCs w:val="22"/>
        </w:rPr>
        <w:t>PIDA_CDS_TLG_2025_CarlosEscalante_GemeloDigital.ipynb</w:t>
      </w:r>
      <w:r>
        <w:rPr>
          <w:rFonts w:eastAsia="Calibri" w:cs="Calibri"/>
          <w:b w:val="false"/>
          <w:bCs w:val="false"/>
          <w:color w:val="000000"/>
          <w:sz w:val="22"/>
          <w:szCs w:val="22"/>
        </w:rPr>
        <w:t xml:space="preserve"> y el dashboard interactivo </w:t>
      </w:r>
      <w:r>
        <w:rPr>
          <w:rFonts w:eastAsia="Calibri" w:cs="Calibri"/>
          <w:b w:val="false"/>
          <w:bCs w:val="false"/>
          <w:color w:val="595959"/>
          <w:sz w:val="22"/>
          <w:szCs w:val="22"/>
        </w:rPr>
        <w:t>PIDA_CDS(TLG)_2025_CarlosEscalante_Dashboard_Merceria.pbix.</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080" w:gutter="0" w:header="708"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2E75B6"/>
      </w:pBdr>
      <w:tabs>
        <w:tab w:val="clear" w:pos="720"/>
        <w:tab w:val="right" w:pos="9360" w:leader="none"/>
      </w:tabs>
      <w:spacing w:before="60" w:after="0"/>
      <w:rPr/>
    </w:pPr>
    <w:r>
      <w:rPr>
        <w:rFonts w:eastAsia="Calibri" w:cs="Calibri"/>
        <w:color w:val="595959"/>
        <w:sz w:val="16"/>
        <w:szCs w:val="16"/>
      </w:rPr>
      <w:t>Tecnológico de Monterrey — The Learning Gate  |  Abril 2026</w:t>
    </w:r>
    <w:r>
      <w:rPr>
        <w:sz w:val="16"/>
        <w:szCs w:val="16"/>
      </w:rPr>
      <w:tab/>
    </w:r>
    <w:r>
      <w:rPr>
        <w:rFonts w:eastAsia="Calibri" w:cs="Calibri"/>
        <w:color w:val="595959"/>
        <w:sz w:val="16"/>
        <w:szCs w:val="16"/>
      </w:rPr>
      <w:t xml:space="preserve">Página </w:t>
    </w:r>
    <w:r>
      <w:rPr>
        <w:rFonts w:cs="Calibri"/>
        <w:color w:val="595959"/>
        <w:sz w:val="16"/>
        <w:szCs w:val="16"/>
      </w:rPr>
      <w:fldChar w:fldCharType="begin"/>
    </w:r>
    <w:r>
      <w:rPr>
        <w:rFonts w:cs="Calibri"/>
        <w:color w:val="595959"/>
        <w:sz w:val="16"/>
        <w:szCs w:val="16"/>
      </w:rPr>
      <w:instrText xml:space="preserve"> PAGE </w:instrText>
    </w:r>
    <w:r>
      <w:rPr>
        <w:rFonts w:cs="Calibri"/>
        <w:color w:val="595959"/>
        <w:sz w:val="16"/>
        <w:szCs w:val="16"/>
      </w:rPr>
      <w:fldChar w:fldCharType="separate"/>
    </w:r>
    <w:r>
      <w:rPr>
        <w:rFonts w:cs="Calibri"/>
        <w:color w:val="595959"/>
        <w:sz w:val="16"/>
        <w:szCs w:val="16"/>
      </w:rPr>
      <w:t>19</w:t>
    </w:r>
    <w:r>
      <w:rPr>
        <w:rFonts w:cs="Calibri"/>
        <w:color w:val="59595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2E75B6"/>
      </w:pBdr>
      <w:tabs>
        <w:tab w:val="clear" w:pos="720"/>
        <w:tab w:val="right" w:pos="9360" w:leader="none"/>
      </w:tabs>
      <w:spacing w:before="60" w:after="0"/>
      <w:rPr/>
    </w:pPr>
    <w:r>
      <w:rPr>
        <w:rFonts w:eastAsia="Calibri" w:cs="Calibri"/>
        <w:color w:val="595959"/>
        <w:sz w:val="16"/>
        <w:szCs w:val="16"/>
      </w:rPr>
      <w:t>Tecnológico de Monterrey — The Learning Gate  |  Abril 2026</w:t>
    </w:r>
    <w:r>
      <w:rPr>
        <w:sz w:val="16"/>
        <w:szCs w:val="16"/>
      </w:rPr>
      <w:tab/>
    </w:r>
    <w:r>
      <w:rPr>
        <w:rFonts w:eastAsia="Calibri" w:cs="Calibri"/>
        <w:color w:val="595959"/>
        <w:sz w:val="16"/>
        <w:szCs w:val="16"/>
      </w:rPr>
      <w:t xml:space="preserve">Página </w:t>
    </w:r>
    <w:r>
      <w:rPr>
        <w:rFonts w:cs="Calibri"/>
        <w:color w:val="595959"/>
        <w:sz w:val="16"/>
        <w:szCs w:val="16"/>
      </w:rPr>
      <w:fldChar w:fldCharType="begin"/>
    </w:r>
    <w:r>
      <w:rPr>
        <w:rFonts w:cs="Calibri"/>
        <w:color w:val="595959"/>
        <w:sz w:val="16"/>
        <w:szCs w:val="16"/>
      </w:rPr>
      <w:instrText xml:space="preserve"> PAGE </w:instrText>
    </w:r>
    <w:r>
      <w:rPr>
        <w:rFonts w:cs="Calibri"/>
        <w:color w:val="595959"/>
        <w:sz w:val="16"/>
        <w:szCs w:val="16"/>
      </w:rPr>
      <w:fldChar w:fldCharType="separate"/>
    </w:r>
    <w:r>
      <w:rPr>
        <w:rFonts w:cs="Calibri"/>
        <w:color w:val="595959"/>
        <w:sz w:val="16"/>
        <w:szCs w:val="16"/>
      </w:rPr>
      <w:t>19</w:t>
    </w:r>
    <w:r>
      <w:rPr>
        <w:rFonts w:cs="Calibri"/>
        <w:color w:val="59595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2E75B6"/>
      </w:pBdr>
      <w:tabs>
        <w:tab w:val="clear" w:pos="720"/>
        <w:tab w:val="right" w:pos="9360" w:leader="none"/>
      </w:tabs>
      <w:spacing w:before="0" w:after="60"/>
      <w:rPr/>
    </w:pPr>
    <w:r>
      <w:rPr>
        <w:rFonts w:eastAsia="Calibri" w:cs="Calibri"/>
        <w:color w:val="595959"/>
        <w:sz w:val="16"/>
        <w:szCs w:val="16"/>
      </w:rPr>
      <w:t>Gemelo Digital de Inventario en Retail — Mercería  |  Citizen Data Scientist TLG 2025</w:t>
    </w:r>
    <w:r>
      <w:rPr>
        <w:sz w:val="16"/>
        <w:szCs w:val="16"/>
      </w:rPr>
      <w:tab/>
    </w:r>
    <w:r>
      <w:rPr>
        <w:rFonts w:eastAsia="Calibri" w:cs="Calibri"/>
        <w:b/>
        <w:bCs/>
        <w:color w:val="2E75B6"/>
        <w:sz w:val="16"/>
        <w:szCs w:val="16"/>
      </w:rPr>
      <w:t>Carlos Escalante Sánchez</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2E75B6"/>
      </w:pBdr>
      <w:tabs>
        <w:tab w:val="clear" w:pos="720"/>
        <w:tab w:val="right" w:pos="9360" w:leader="none"/>
      </w:tabs>
      <w:spacing w:before="0" w:after="60"/>
      <w:rPr/>
    </w:pPr>
    <w:r>
      <w:rPr>
        <w:rFonts w:eastAsia="Calibri" w:cs="Calibri"/>
        <w:color w:val="595959"/>
        <w:sz w:val="16"/>
        <w:szCs w:val="16"/>
      </w:rPr>
      <w:t>Gemelo Digital de Inventario en Retail — Mercería  |  Citizen Data Scientist TLG 2025</w:t>
    </w:r>
    <w:r>
      <w:rPr>
        <w:sz w:val="16"/>
        <w:szCs w:val="16"/>
      </w:rPr>
      <w:tab/>
    </w:r>
    <w:r>
      <w:rPr>
        <w:rFonts w:eastAsia="Calibri" w:cs="Calibri"/>
        <w:b/>
        <w:bCs/>
        <w:color w:val="2E75B6"/>
        <w:sz w:val="16"/>
        <w:szCs w:val="16"/>
      </w:rPr>
      <w:t>Carlos Escalante Sánchez</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360"/>
      </w:pPr>
      <w:rPr>
        <w:rFonts w:ascii="Symbol" w:hAnsi="Symbol" w:cs="Symbol" w:hint="default"/>
      </w:rPr>
    </w:lvl>
    <w:lvl w:ilvl="1">
      <w:start w:val="1"/>
      <w:numFmt w:val="bullet"/>
      <w:lvlText w:val=""/>
      <w:lvlJc w:val="start"/>
      <w:pPr>
        <w:tabs>
          <w:tab w:val="num" w:pos="0"/>
        </w:tabs>
        <w:ind w:start="900" w:hanging="36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s-MX" w:eastAsia="zh-CN" w:bidi="hi-IN"/>
    </w:rPr>
  </w:style>
  <w:style w:type="paragraph" w:styleId="Heading1">
    <w:name w:val="heading 1"/>
    <w:basedOn w:val="Ttulo"/>
    <w:qFormat/>
    <w:pPr>
      <w:spacing w:before="360" w:after="180"/>
      <w:outlineLvl w:val="0"/>
    </w:pPr>
    <w:rPr>
      <w:rFonts w:ascii="Calibri" w:hAnsi="Calibri" w:eastAsia="Calibri" w:cs="Calibri"/>
      <w:b/>
      <w:bCs/>
      <w:color w:val="1A3A5C"/>
      <w:sz w:val="32"/>
      <w:szCs w:val="32"/>
    </w:rPr>
  </w:style>
  <w:style w:type="paragraph" w:styleId="Heading2">
    <w:name w:val="heading 2"/>
    <w:basedOn w:val="Ttulo"/>
    <w:qFormat/>
    <w:pPr>
      <w:spacing w:before="240" w:after="120"/>
      <w:outlineLvl w:val="1"/>
    </w:pPr>
    <w:rPr>
      <w:rFonts w:ascii="Calibri" w:hAnsi="Calibri" w:eastAsia="Calibri" w:cs="Calibri"/>
      <w:b/>
      <w:bCs/>
      <w:color w:val="2E75B6"/>
      <w:sz w:val="26"/>
      <w:szCs w:val="26"/>
    </w:rPr>
  </w:style>
  <w:style w:type="paragraph" w:styleId="Heading3">
    <w:name w:val="heading 3"/>
    <w:basedOn w:val="Ttulo"/>
    <w:qFormat/>
    <w:pPr>
      <w:spacing w:before="180" w:after="80"/>
      <w:outlineLvl w:val="2"/>
    </w:pPr>
    <w:rPr>
      <w:rFonts w:ascii="Calibri" w:hAnsi="Calibri" w:eastAsia="Calibri" w:cs="Calibri"/>
      <w:b/>
      <w:bCs/>
      <w:color w:val="595959"/>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s-MX"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LibreOffice/26.2.1.2$Windows_X86_64 LibreOffice_project/620$Build-2</Application>
  <AppVersion>15.0000</AppVersion>
  <Pages>19</Pages>
  <Words>3963</Words>
  <Characters>23725</Characters>
  <CharactersWithSpaces>27162</CharactersWithSpaces>
  <Paragraphs>527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2026-04-29T23:48:07Z</dcterms:created>
  <dc:creator>Carlos Escalante Sánchez</dc:creator>
  <dc:description/>
  <dc:language>es-MX</dc:language>
  <cp:lastModifiedBy/>
  <dcterms:modified xsi:type="dcterms:W3CDTF">2026-05-18T12:34:09Z</dcterms:modified>
  <cp:revision>5</cp:revision>
  <dc:subject/>
  <dc:title>PIDA — Documentación Final CDS TLG 2025</dc:title>
</cp:coreProperties>
</file>

<file path=docProps/custom.xml><?xml version="1.0" encoding="utf-8"?>
<Properties xmlns="http://schemas.openxmlformats.org/officeDocument/2006/custom-properties" xmlns:vt="http://schemas.openxmlformats.org/officeDocument/2006/docPropsVTypes"/>
</file>