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Pedido de venture debt</w:t>
      </w:r>
    </w:p>
    <w:p>
      <w:r>
        <w:t xml:space="preserve">São Paulo, 14 de agosto de 2026.</w:t>
      </w:r>
    </w:p>
    <w:p>
      <w:r>
        <w:t xml:space="preserve">A Nimbus busca R$ 15,0 milhões em venture debt, prazo de 36 meses com 12 meses de carência de principal, a um custo na ordem de CDI + 6,00% a.a. com warrant de 8% do principal.</w:t>
      </w:r>
    </w:p>
    <w:p>
      <w:r>
        <w:t xml:space="preserve">Estender o runway até a Série B prevista para o segundo semestre de 2027 sem antecipar a rodada em condições piores. Com o caixa atual de R$ 24,1 milhões temos 16 meses de runway; com a operação, chegamos à Série B com folga e sem depender do momento de mercado.</w:t>
      </w:r>
    </w:p>
    <w:p>
      <w:pPr>
        <w:pStyle w:val="Heading1"/>
      </w:pPr>
      <w:r>
        <w:t xml:space="preserve">Destinação dos recursos</w:t>
      </w:r>
    </w:p>
    <w:tbl>
      <w:tblPr>
        <w:tblStyle w:val="TableGrid"/>
      </w:tblPr>
      <w:tr>
        <w:tc>
          <w:tcPr/>
          <w:p>
            <w:r>
              <w:t xml:space="preserve">Destinação</w:t>
            </w:r>
          </w:p>
        </w:tc>
        <w:tc>
          <w:tcPr/>
          <w:p>
            <w:r>
              <w:t xml:space="preserve">Valor (R$)</w:t>
            </w:r>
          </w:p>
        </w:tc>
      </w:tr>
      <w:tr>
        <w:tc>
          <w:tcPr/>
          <w:p>
            <w:r>
              <w:t xml:space="preserve">Extensão de runway (folha e infraestrutura)</w:t>
            </w:r>
          </w:p>
        </w:tc>
        <w:tc>
          <w:tcPr/>
          <w:p>
            <w:r>
              <w:t xml:space="preserve">11.000.000,00</w:t>
            </w:r>
          </w:p>
        </w:tc>
      </w:tr>
      <w:tr>
        <w:tc>
          <w:tcPr/>
          <w:p>
            <w:r>
              <w:t xml:space="preserve">Aquisição de clientes (time comercial e marketing)</w:t>
            </w:r>
          </w:p>
        </w:tc>
        <w:tc>
          <w:tcPr/>
          <w:p>
            <w:r>
              <w:t xml:space="preserve">4.000.000,00</w:t>
            </w:r>
          </w:p>
        </w:tc>
      </w:tr>
    </w:tbl>
    <w:p>
      <w:pPr>
        <w:pStyle w:val="Heading1"/>
      </w:pPr>
      <w:r>
        <w:t xml:space="preserve">Endividamento atual</w:t>
      </w:r>
    </w:p>
    <w:tbl>
      <w:tblPr>
        <w:tblStyle w:val="TableGrid"/>
      </w:tblPr>
      <w:tr>
        <w:tc>
          <w:tcPr/>
          <w:p>
            <w:r>
              <w:t xml:space="preserve">Credor</w:t>
            </w:r>
          </w:p>
        </w:tc>
        <w:tc>
          <w:tcPr/>
          <w:p>
            <w:r>
              <w:t xml:space="preserve">Modalidade</w:t>
            </w:r>
          </w:p>
        </w:tc>
        <w:tc>
          <w:tcPr/>
          <w:p>
            <w:r>
              <w:t xml:space="preserve">Saldo (R$)</w:t>
            </w:r>
          </w:p>
        </w:tc>
        <w:tc>
          <w:tcPr/>
          <w:p>
            <w:r>
              <w:t xml:space="preserve">Custo</w:t>
            </w:r>
          </w:p>
        </w:tc>
        <w:tc>
          <w:tcPr/>
          <w:p>
            <w:r>
              <w:t xml:space="preserve">Vencimento</w:t>
            </w:r>
          </w:p>
        </w:tc>
        <w:tc>
          <w:tcPr/>
          <w:p>
            <w:r>
              <w:t xml:space="preserve">Amortização</w:t>
            </w:r>
          </w:p>
        </w:tc>
        <w:tc>
          <w:tcPr/>
          <w:p>
            <w:r>
              <w:t xml:space="preserve">Garantia</w:t>
            </w:r>
          </w:p>
        </w:tc>
      </w:tr>
      <w:tr>
        <w:tc>
          <w:tcPr/>
          <w:p>
            <w:r>
              <w:t xml:space="preserve">FINEP</w:t>
            </w:r>
          </w:p>
        </w:tc>
        <w:tc>
          <w:tcPr/>
          <w:p>
            <w:r>
              <w:t xml:space="preserve">Financiamento à inovação</w:t>
            </w:r>
          </w:p>
        </w:tc>
        <w:tc>
          <w:tcPr/>
          <w:p>
            <w:r>
              <w:t xml:space="preserve">3.200.000,00</w:t>
            </w:r>
          </w:p>
        </w:tc>
        <w:tc>
          <w:tcPr/>
          <w:p>
            <w:r>
              <w:t xml:space="preserve">TR + 5,00% a.a.</w:t>
            </w:r>
          </w:p>
        </w:tc>
        <w:tc>
          <w:tcPr/>
          <w:p>
            <w:r>
              <w:t xml:space="preserve">2029-06-15</w:t>
            </w:r>
          </w:p>
        </w:tc>
        <w:tc>
          <w:tcPr/>
          <w:p>
            <w:r>
              <w:t xml:space="preserve">Mensal com 24m carência</w:t>
            </w:r>
          </w:p>
        </w:tc>
        <w:tc>
          <w:tcPr/>
          <w:p>
            <w:r>
              <w:t xml:space="preserve">Fiança bancária</w:t>
            </w:r>
          </w:p>
        </w:tc>
      </w:tr>
    </w:tbl>
    <w:p>
      <w:r>
        <w:t xml:space="preserve">Paula Nakamura, Diretora financeira.</w:t>
      </w:r>
    </w:p>
    <w:sectPr/>
  </w:body>
</w:document>
</file>