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Carta da diretoria financeira</w:t>
      </w:r>
    </w:p>
    <w:p>
      <w:r>
        <w:t xml:space="preserve">São José dos Campos, 12 de agosto de 2026.</w:t>
      </w:r>
    </w:p>
    <w:p>
      <w:r>
        <w:t xml:space="preserve">Prezados, a Aurora Materiais encerrou 2025 com receita líquida de aproximadamente R$ 190 milhões, crescimento de cerca de 13% sobre 2024, sustentado pela retomada da construção residencial no Vale do Paraíba e pela ampliação da carteira de clientes corporativos.</w:t>
      </w:r>
    </w:p>
    <w:p>
      <w:r>
        <w:t xml:space="preserve">Buscamos captação de R$ 40 milhões, em 48 meses, com 6 meses de carência, a um custo que entendemos compatível com o nosso perfil, na ordem de CDI mais 4% ao ano.</w:t>
      </w:r>
    </w:p>
    <w:p>
      <w:pPr>
        <w:pStyle w:val="Heading1"/>
      </w:pPr>
      <w:r>
        <w:t xml:space="preserve">Racional da operação</w:t>
      </w:r>
    </w:p>
    <w:p>
      <w:r>
        <w:t xml:space="preserve">O ciclo de caixa alongou com o crescimento: o prazo médio de recebimento subiu de 54 para 68 dias entre 2023 e 2025, enquanto o prazo de fornecedores permaneceu em 41 dias. O capital de giro passou a ser financiado por linhas curtas e caras, e três delas vencem em 2027.</w:t>
      </w:r>
    </w:p>
    <w:p>
      <w:r>
        <w:t xml:space="preserve">Paralelamente, a operação atingiu o limite físico do centro de distribuição de São José dos Campos. O quarto centro, em Jacareí, é condição para atender a demanda contratada da região de Campinas.</w:t>
      </w:r>
    </w:p>
    <w:p>
      <w:pPr>
        <w:pStyle w:val="Heading1"/>
      </w:pPr>
      <w:r>
        <w:t xml:space="preserve">Destinação dos recursos</w:t>
      </w:r>
    </w:p>
    <w:tbl>
      <w:tblPr>
        <w:tblStyle w:val="TableGrid"/>
      </w:tblPr>
      <w:tr>
        <w:tc>
          <w:tcPr/>
          <w:p>
            <w:r>
              <w:t xml:space="preserve">Destinação</w:t>
            </w:r>
          </w:p>
        </w:tc>
        <w:tc>
          <w:tcPr/>
          <w:p>
            <w:r>
              <w:t xml:space="preserve">Valor (R$)</w:t>
            </w:r>
          </w:p>
        </w:tc>
      </w:tr>
      <w:tr>
        <w:tc>
          <w:tcPr/>
          <w:p>
            <w:r>
              <w:t xml:space="preserve">Capital de giro (reforço do ciclo de recebíveis)</w:t>
            </w:r>
          </w:p>
        </w:tc>
        <w:tc>
          <w:tcPr/>
          <w:p>
            <w:r>
              <w:t xml:space="preserve">25.000.000,00</w:t>
            </w:r>
          </w:p>
        </w:tc>
      </w:tr>
      <w:tr>
        <w:tc>
          <w:tcPr/>
          <w:p>
            <w:r>
              <w:t xml:space="preserve">Obra civil do centro de distribuição de Jacareí</w:t>
            </w:r>
          </w:p>
        </w:tc>
        <w:tc>
          <w:tcPr/>
          <w:p>
            <w:r>
              <w:t xml:space="preserve">11.400.000,00</w:t>
            </w:r>
          </w:p>
        </w:tc>
      </w:tr>
      <w:tr>
        <w:tc>
          <w:tcPr/>
          <w:p>
            <w:r>
              <w:t xml:space="preserve">Equipamentos de movimentação e racks</w:t>
            </w:r>
          </w:p>
        </w:tc>
        <w:tc>
          <w:tcPr/>
          <w:p>
            <w:r>
              <w:t xml:space="preserve">4.100.000,00</w:t>
            </w:r>
          </w:p>
        </w:tc>
      </w:tr>
      <w:tr>
        <w:tc>
          <w:tcPr/>
          <w:p>
            <w:r>
              <w:t xml:space="preserve">Sistema de gestão e integração logística</w:t>
            </w:r>
          </w:p>
        </w:tc>
        <w:tc>
          <w:tcPr/>
          <w:p>
            <w:r>
              <w:t xml:space="preserve">1.800.000,00</w:t>
            </w:r>
          </w:p>
        </w:tc>
      </w:tr>
    </w:tbl>
    <w:p>
      <w:r>
        <w:t xml:space="preserve">Permanecemos à disposição para esclarecimentos e para o envio de qualquer documento adicional.</w:t>
      </w:r>
    </w:p>
    <w:p>
      <w:r>
        <w:t xml:space="preserve">Marcos Tanaka, Diretor financeiro.</w:t>
      </w:r>
    </w:p>
    <w:sectPr/>
  </w:body>
</w:document>
</file>