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Camil Alimentos S.A. – Diretoria Financeira e de Relações com Investidores</w:t>
      </w:r>
    </w:p>
    <w:p>
      <w:r>
        <w:t xml:space="preserve">SIMULAÇÃO PARA TESTE DE PLATAFORMA. Este pedido é fictício e foi redigido para exercitar a análise de crédito sobre demonstrações públicas reais. Nenhuma operação aqui descrita foi proposta pela companhia.</w:t>
      </w:r>
    </w:p>
    <w:p>
      <w:r>
        <w:t xml:space="preserve">São Paulo, 10 de agosto de 2026.</w:t>
      </w:r>
    </w:p>
    <w:p>
      <w:pPr>
        <w:pStyle w:val="Heading1"/>
      </w:pPr>
      <w:r>
        <w:t xml:space="preserve">Pedido</w:t>
      </w:r>
    </w:p>
    <w:p>
      <w:r>
        <w:t xml:space="preserve">A Camil Alimentos S.A. (CNPJ 64.904.295/0001-03) solicita a estruturação de uma captação de R$ 1.500.000.000,00 (um bilhão e quinhentos milhões de reais), por meio de Certificados de Recebíveis do Agronegócio lastreados em debêntures de emissão da companhia, com prazo de 84 meses e carência de 24 meses para amortização de principal.</w:t>
      </w:r>
    </w:p>
    <w:p>
      <w:r>
        <w:t xml:space="preserve">A expectativa de custo é de CDI + 1,25% a.a., em linha com as últimas emissões da companhia em CDI (11ª emissão a CDI + 1,55%; 13ª emissão, 1ª série, a CDI + 0,65%).</w:t>
      </w:r>
    </w:p>
    <w:p>
      <w:pPr>
        <w:pStyle w:val="Heading1"/>
      </w:pPr>
      <w:r>
        <w:t xml:space="preserve">Destinação dos recursos</w:t>
      </w:r>
    </w:p>
    <w:tbl>
      <w:tblPr>
        <w:tblStyle w:val="TableGrid"/>
      </w:tblPr>
      <w:tr>
        <w:tc>
          <w:tcPr/>
          <w:p>
            <w:r>
              <w:t xml:space="preserve">Item</w:t>
            </w:r>
          </w:p>
        </w:tc>
        <w:tc>
          <w:tcPr/>
          <w:p>
            <w:r>
              <w:t xml:space="preserve">Valor</w:t>
            </w:r>
          </w:p>
        </w:tc>
      </w:tr>
      <w:tr>
        <w:tc>
          <w:tcPr/>
          <w:p>
            <w:r>
              <w:t xml:space="preserve">Resgate antecipado das parcelas Jun/26 a Mai/27 (empréstimos bilaterais e CCBs)</w:t>
            </w:r>
          </w:p>
        </w:tc>
        <w:tc>
          <w:tcPr/>
          <w:p>
            <w:r>
              <w:t xml:space="preserve">R$ 1.229.828.000,00</w:t>
            </w:r>
          </w:p>
        </w:tc>
      </w:tr>
      <w:tr>
        <w:tc>
          <w:tcPr/>
          <w:p>
            <w:r>
              <w:t xml:space="preserve">Reforço de caixa para a safra 2026/27</w:t>
            </w:r>
          </w:p>
        </w:tc>
        <w:tc>
          <w:tcPr/>
          <w:p>
            <w:r>
              <w:t xml:space="preserve">R$ 270.172.000,00</w:t>
            </w:r>
          </w:p>
        </w:tc>
      </w:tr>
    </w:tbl>
    <w:p>
      <w:r>
        <w:t xml:space="preserve">As parcelas a resgatar correspondem ao vencimento contratual consolidado de Jun/26 a Mai/27 informado na nota 15 das informações trimestrais de 31 de maio de 2026 (R$ 1.229.828 mil).</w:t>
      </w:r>
    </w:p>
    <w:p>
      <w:pPr>
        <w:pStyle w:val="Heading1"/>
      </w:pPr>
      <w:r>
        <w:t xml:space="preserve">Racional</w:t>
      </w:r>
    </w:p>
    <w:p>
      <w:r>
        <w:t xml:space="preserve">O endividamento bruto consolidado em 31 de maio de 2026 era de R$ 5.670.186 mil, com caixa e aplicações de R$ 1.455.809 mil. A alavancagem pro forma medida pela companhia era de 4,72x, acima do limite de 4,0x exigido nos principais instrumentos, cuja próxima medição ocorre com base nas demonstrações de 28 de fevereiro de 2027. A sazonalidade da safra concentra compra de matéria-prima no primeiro semestre fiscal e o caixa recompõe-se ao longo do ano.</w:t>
      </w:r>
    </w:p>
    <w:p>
      <w:r>
        <w:t xml:space="preserve">A operação alonga o perfil de vencimentos, substitui dívida bancária de curto prazo por dívida de mercado de capitais com carência e evita a pressão de refinanciamento no ano-safra 2026/27. A companhia está aberta a discutir covenant de alavancagem com escalonamento e a garantia quirografária usual de suas emissões.</w:t>
      </w:r>
    </w:p>
    <w:p>
      <w:r>
        <w:t xml:space="preserve">Atenciosamente, Flavio Vargas, Diretor Financeiro e de Relações com Investidores (personagem da simulação; não representa declaração da companhia).</w:t>
      </w:r>
    </w:p>
    <w:sectPr/>
  </w:body>
</w:document>
</file>