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Cogna Educação S.A. – Diretoria Financeira e de Relações com Investidores</w:t>
      </w:r>
    </w:p>
    <w:p>
      <w:r>
        <w:t xml:space="preserve">SIMULAÇÃO PARA TESTE DE PLATAFORMA. Este pedido é fictício e foi redigido para exercitar a análise de crédito sobre um release de resultados público real. Nenhuma operação aqui descrita foi proposta pela companhia.</w:t>
      </w:r>
    </w:p>
    <w:p>
      <w:r>
        <w:t xml:space="preserve">São Paulo, 20 de agosto de 2026.</w:t>
      </w:r>
    </w:p>
    <w:p>
      <w:pPr>
        <w:pStyle w:val="Heading1"/>
      </w:pPr>
      <w:r>
        <w:t xml:space="preserve">Pedido</w:t>
      </w:r>
    </w:p>
    <w:p>
      <w:r>
        <w:t xml:space="preserve">A Cogna Educação S.A. solicita a estruturação de uma emissão de debêntures simples, não conversíveis, no montante de R$ 1.800.000.000,00 (um bilhão e oitocentos milhões de reais), prazo de 84 meses e carência de 36 meses para amortização de principal, com remuneração alvo de CDI + 1,40% a.a..</w:t>
      </w:r>
    </w:p>
    <w:p>
      <w:pPr>
        <w:pStyle w:val="Heading1"/>
      </w:pPr>
      <w:r>
        <w:t xml:space="preserve">Destinação dos recursos</w:t>
      </w:r>
    </w:p>
    <w:tbl>
      <w:tblPr>
        <w:tblStyle w:val="TableGrid"/>
      </w:tblPr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Valor</w:t>
            </w:r>
          </w:p>
        </w:tc>
      </w:tr>
      <w:tr>
        <w:tc>
          <w:tcPr/>
          <w:p>
            <w:r>
              <w:t xml:space="preserve">Resgate antecipado das debêntures com vencimento em 2028</w:t>
            </w:r>
          </w:p>
        </w:tc>
        <w:tc>
          <w:tcPr/>
          <w:p>
            <w:r>
              <w:t xml:space="preserve">R$ 1.800.000.000,00</w:t>
            </w:r>
          </w:p>
        </w:tc>
      </w:tr>
    </w:tbl>
    <w:p>
      <w:r>
        <w:t xml:space="preserve">O cronograma de amortização divulgado no release do 2T26 concentra R$ 2.140 milhões em 2028. A emissão resgata a maior parte dessa parcela e desloca o pico de vencimentos para 2031 em diante, preservando a duration média acima de 36 meses.</w:t>
      </w:r>
    </w:p>
    <w:p>
      <w:pPr>
        <w:pStyle w:val="Heading1"/>
      </w:pPr>
      <w:r>
        <w:t xml:space="preserve">Racional</w:t>
      </w:r>
    </w:p>
    <w:p>
      <w:r>
        <w:t xml:space="preserve">Ao final do 2T26 a dívida líquida consolidada era de R$ 2.775,4 milhões e a alavancagem, apurada conforme as escrituras (dívida líquida sobre EBITDA ajustado dos últimos doze meses), era de 1,10x, contra 1,22x no 2T25. O custo médio ponderado da dívida era de CDI + 1,59% com duration de 29 meses. A operação não aumenta a dívida bruta de forma relevante: é troca de passivo com alongamento.</w:t>
      </w:r>
    </w:p>
    <w:p>
      <w:r>
        <w:t xml:space="preserve">A companhia está aberta a discutir covenant de alavancagem em linha com as escrituras vigentes (dívida líquida sobre EBITDA ajustado) e garantia quirografária, como nas emissões anteriores.</w:t>
      </w:r>
    </w:p>
    <w:p>
      <w:r>
        <w:t xml:space="preserve">Atenciosamente, Frederico Villa, Diretor Financeiro (personagem da simulação; não representa declaração da companhia).</w:t>
      </w:r>
    </w:p>
    <w:sectPr/>
  </w:body>
</w:document>
</file>