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</w:pPr>
      <w:r>
        <w:rPr>
          <w:rFonts w:ascii="Calibri" w:hAnsi="Calibri"/>
          <w:b/>
          <w:i w:val="0"/>
          <w:color w:val="4C776A"/>
          <w:sz w:val="18"/>
        </w:rPr>
        <w:t>FICHA CADASTRAL</w:t>
      </w:r>
    </w:p>
    <w:p>
      <w:pPr>
        <w:spacing w:before="0" w:after="80" w:line="240" w:lineRule="auto"/>
      </w:pPr>
      <w:r>
        <w:rPr>
          <w:rFonts w:ascii="Calibri" w:hAnsi="Calibri"/>
          <w:b/>
          <w:i w:val="0"/>
          <w:color w:val="17463A"/>
          <w:sz w:val="48"/>
        </w:rPr>
        <w:t>Rede Horizonte Alimentos S.A.</w:t>
      </w:r>
    </w:p>
    <w:p>
      <w:pPr>
        <w:spacing w:before="0" w:after="280" w:line="264" w:lineRule="auto"/>
      </w:pPr>
      <w:r>
        <w:rPr>
          <w:rFonts w:ascii="Calibri" w:hAnsi="Calibri"/>
          <w:b w:val="0"/>
          <w:i w:val="0"/>
          <w:color w:val="64706B"/>
          <w:sz w:val="25"/>
        </w:rPr>
        <w:t>Identificação cadastral da companhia solicitante do financiamento</w:t>
      </w:r>
    </w:p>
    <w:p>
      <w:pPr>
        <w:spacing w:before="100" w:after="100" w:line="264" w:lineRule="auto"/>
        <w:shd w:fill="F6F3EA"/>
        <w:ind w:left="160" w:right="160"/>
      </w:pPr>
      <w:r>
        <w:rPr>
          <w:rFonts w:ascii="Calibri" w:hAnsi="Calibri"/>
          <w:b/>
          <w:i w:val="0"/>
          <w:color w:val="7A5A00"/>
          <w:sz w:val="19"/>
        </w:rPr>
        <w:t>IMPORTANTE — Todos os dados abaixo são fictícios e não correspondem a uma pessoa jurídica real.</w:t>
      </w:r>
    </w:p>
    <w:p>
      <w:pPr>
        <w:pStyle w:val="Heading1"/>
      </w:pPr>
      <w:r>
        <w:t>Dados cadastrais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FEC"/>
            <w:tcBorders>
              <w:top w:val="single" w:sz="4" w:color="C9D2CE"/>
              <w:bottom w:val="single" w:sz="4" w:color="C9D2CE"/>
              <w:start w:val="single" w:sz="4" w:color="C9D2CE"/>
              <w:end w:val="single" w:sz="4" w:color="C9D2CE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463A"/>
                <w:sz w:val="19"/>
              </w:rPr>
              <w:t>Razão social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4" w:color="C9D2CE"/>
              <w:bottom w:val="single" w:sz="4" w:color="C9D2CE"/>
              <w:start w:val="single" w:sz="4" w:color="C9D2CE"/>
              <w:end w:val="single" w:sz="4" w:color="C9D2CE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1D2522"/>
                <w:sz w:val="19"/>
              </w:rPr>
              <w:t>Rede Horizonte Alimentos S.A.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FEC"/>
            <w:tcBorders>
              <w:top w:val="single" w:sz="4" w:color="C9D2CE"/>
              <w:bottom w:val="single" w:sz="4" w:color="C9D2CE"/>
              <w:start w:val="single" w:sz="4" w:color="C9D2CE"/>
              <w:end w:val="single" w:sz="4" w:color="C9D2CE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463A"/>
                <w:sz w:val="19"/>
              </w:rPr>
              <w:t>Nome fantasia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8"/>
            <w:tcBorders>
              <w:top w:val="single" w:sz="4" w:color="C9D2CE"/>
              <w:bottom w:val="single" w:sz="4" w:color="C9D2CE"/>
              <w:start w:val="single" w:sz="4" w:color="C9D2CE"/>
              <w:end w:val="single" w:sz="4" w:color="C9D2CE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1D2522"/>
                <w:sz w:val="19"/>
              </w:rPr>
              <w:t>Rede Horizonte Supermercados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FEC"/>
            <w:tcBorders>
              <w:top w:val="single" w:sz="4" w:color="C9D2CE"/>
              <w:bottom w:val="single" w:sz="4" w:color="C9D2CE"/>
              <w:start w:val="single" w:sz="4" w:color="C9D2CE"/>
              <w:end w:val="single" w:sz="4" w:color="C9D2CE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463A"/>
                <w:sz w:val="19"/>
              </w:rPr>
              <w:t>CNPJ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4" w:color="C9D2CE"/>
              <w:bottom w:val="single" w:sz="4" w:color="C9D2CE"/>
              <w:start w:val="single" w:sz="4" w:color="C9D2CE"/>
              <w:end w:val="single" w:sz="4" w:color="C9D2CE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1D2522"/>
                <w:sz w:val="19"/>
              </w:rPr>
              <w:t>12.345.678/0001-95 — número fictício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FEC"/>
            <w:tcBorders>
              <w:top w:val="single" w:sz="4" w:color="C9D2CE"/>
              <w:bottom w:val="single" w:sz="4" w:color="C9D2CE"/>
              <w:start w:val="single" w:sz="4" w:color="C9D2CE"/>
              <w:end w:val="single" w:sz="4" w:color="C9D2CE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463A"/>
                <w:sz w:val="19"/>
              </w:rPr>
              <w:t>Website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8"/>
            <w:tcBorders>
              <w:top w:val="single" w:sz="4" w:color="C9D2CE"/>
              <w:bottom w:val="single" w:sz="4" w:color="C9D2CE"/>
              <w:start w:val="single" w:sz="4" w:color="C9D2CE"/>
              <w:end w:val="single" w:sz="4" w:color="C9D2CE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1D2522"/>
                <w:sz w:val="19"/>
              </w:rPr>
              <w:t>https://www.redehorizonte.example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FEC"/>
            <w:tcBorders>
              <w:top w:val="single" w:sz="4" w:color="C9D2CE"/>
              <w:bottom w:val="single" w:sz="4" w:color="C9D2CE"/>
              <w:start w:val="single" w:sz="4" w:color="C9D2CE"/>
              <w:end w:val="single" w:sz="4" w:color="C9D2CE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463A"/>
                <w:sz w:val="19"/>
              </w:rPr>
              <w:t>Telefone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4" w:color="C9D2CE"/>
              <w:bottom w:val="single" w:sz="4" w:color="C9D2CE"/>
              <w:start w:val="single" w:sz="4" w:color="C9D2CE"/>
              <w:end w:val="single" w:sz="4" w:color="C9D2CE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1D2522"/>
                <w:sz w:val="19"/>
              </w:rPr>
              <w:t>+55 (16) 3000-0000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FEC"/>
            <w:tcBorders>
              <w:top w:val="single" w:sz="4" w:color="C9D2CE"/>
              <w:bottom w:val="single" w:sz="4" w:color="C9D2CE"/>
              <w:start w:val="single" w:sz="4" w:color="C9D2CE"/>
              <w:end w:val="single" w:sz="4" w:color="C9D2CE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463A"/>
                <w:sz w:val="19"/>
              </w:rPr>
              <w:t>País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8"/>
            <w:tcBorders>
              <w:top w:val="single" w:sz="4" w:color="C9D2CE"/>
              <w:bottom w:val="single" w:sz="4" w:color="C9D2CE"/>
              <w:start w:val="single" w:sz="4" w:color="C9D2CE"/>
              <w:end w:val="single" w:sz="4" w:color="C9D2CE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1D2522"/>
                <w:sz w:val="19"/>
              </w:rPr>
              <w:t>Brasil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FEC"/>
            <w:tcBorders>
              <w:top w:val="single" w:sz="4" w:color="C9D2CE"/>
              <w:bottom w:val="single" w:sz="4" w:color="C9D2CE"/>
              <w:start w:val="single" w:sz="4" w:color="C9D2CE"/>
              <w:end w:val="single" w:sz="4" w:color="C9D2CE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463A"/>
                <w:sz w:val="19"/>
              </w:rPr>
              <w:t>Estado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4" w:color="C9D2CE"/>
              <w:bottom w:val="single" w:sz="4" w:color="C9D2CE"/>
              <w:start w:val="single" w:sz="4" w:color="C9D2CE"/>
              <w:end w:val="single" w:sz="4" w:color="C9D2CE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1D2522"/>
                <w:sz w:val="19"/>
              </w:rPr>
              <w:t>São Paulo — SP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FEC"/>
            <w:tcBorders>
              <w:top w:val="single" w:sz="4" w:color="C9D2CE"/>
              <w:bottom w:val="single" w:sz="4" w:color="C9D2CE"/>
              <w:start w:val="single" w:sz="4" w:color="C9D2CE"/>
              <w:end w:val="single" w:sz="4" w:color="C9D2CE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463A"/>
                <w:sz w:val="19"/>
              </w:rPr>
              <w:t>Cidade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8"/>
            <w:tcBorders>
              <w:top w:val="single" w:sz="4" w:color="C9D2CE"/>
              <w:bottom w:val="single" w:sz="4" w:color="C9D2CE"/>
              <w:start w:val="single" w:sz="4" w:color="C9D2CE"/>
              <w:end w:val="single" w:sz="4" w:color="C9D2CE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1D2522"/>
                <w:sz w:val="19"/>
              </w:rPr>
              <w:t>Ribeirão Preto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FEC"/>
            <w:tcBorders>
              <w:top w:val="single" w:sz="4" w:color="C9D2CE"/>
              <w:bottom w:val="single" w:sz="4" w:color="C9D2CE"/>
              <w:start w:val="single" w:sz="4" w:color="C9D2CE"/>
              <w:end w:val="single" w:sz="4" w:color="C9D2CE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463A"/>
                <w:sz w:val="19"/>
              </w:rPr>
              <w:t>Setor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4" w:color="C9D2CE"/>
              <w:bottom w:val="single" w:sz="4" w:color="C9D2CE"/>
              <w:start w:val="single" w:sz="4" w:color="C9D2CE"/>
              <w:end w:val="single" w:sz="4" w:color="C9D2CE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1D2522"/>
                <w:sz w:val="19"/>
              </w:rPr>
              <w:t>Consumo e Varejo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FEC"/>
            <w:tcBorders>
              <w:top w:val="single" w:sz="4" w:color="C9D2CE"/>
              <w:bottom w:val="single" w:sz="4" w:color="C9D2CE"/>
              <w:start w:val="single" w:sz="4" w:color="C9D2CE"/>
              <w:end w:val="single" w:sz="4" w:color="C9D2CE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463A"/>
                <w:sz w:val="19"/>
              </w:rPr>
              <w:t>Subsetor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8"/>
            <w:tcBorders>
              <w:top w:val="single" w:sz="4" w:color="C9D2CE"/>
              <w:bottom w:val="single" w:sz="4" w:color="C9D2CE"/>
              <w:start w:val="single" w:sz="4" w:color="C9D2CE"/>
              <w:end w:val="single" w:sz="4" w:color="C9D2CE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1D2522"/>
                <w:sz w:val="19"/>
              </w:rPr>
              <w:t>Varejo alimentar — Supermercados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FEC"/>
            <w:tcBorders>
              <w:top w:val="single" w:sz="4" w:color="C9D2CE"/>
              <w:bottom w:val="single" w:sz="4" w:color="C9D2CE"/>
              <w:start w:val="single" w:sz="4" w:color="C9D2CE"/>
              <w:end w:val="single" w:sz="4" w:color="C9D2CE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463A"/>
                <w:sz w:val="19"/>
              </w:rPr>
              <w:t>Natureza jurídica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  <w:tcBorders>
              <w:top w:val="single" w:sz="4" w:color="C9D2CE"/>
              <w:bottom w:val="single" w:sz="4" w:color="C9D2CE"/>
              <w:start w:val="single" w:sz="4" w:color="C9D2CE"/>
              <w:end w:val="single" w:sz="4" w:color="C9D2CE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1D2522"/>
                <w:sz w:val="19"/>
              </w:rPr>
              <w:t>Sociedade Anônima de capital fechado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FEC"/>
            <w:tcBorders>
              <w:top w:val="single" w:sz="4" w:color="C9D2CE"/>
              <w:bottom w:val="single" w:sz="4" w:color="C9D2CE"/>
              <w:start w:val="single" w:sz="4" w:color="C9D2CE"/>
              <w:end w:val="single" w:sz="4" w:color="C9D2CE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463A"/>
                <w:sz w:val="19"/>
              </w:rPr>
              <w:t>Ano de início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8"/>
            <w:tcBorders>
              <w:top w:val="single" w:sz="4" w:color="C9D2CE"/>
              <w:bottom w:val="single" w:sz="4" w:color="C9D2CE"/>
              <w:start w:val="single" w:sz="4" w:color="C9D2CE"/>
              <w:end w:val="single" w:sz="4" w:color="C9D2CE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1D2522"/>
                <w:sz w:val="19"/>
              </w:rPr>
              <w:t>2012</w:t>
            </w:r>
          </w:p>
        </w:tc>
      </w:tr>
    </w:tbl>
    <w:p>
      <w:pPr>
        <w:pStyle w:val="Heading2"/>
      </w:pPr>
      <w:r>
        <w:t>Atividade e contato</w:t>
      </w:r>
    </w:p>
    <w:p>
      <w:pPr>
        <w:spacing w:before="0" w:after="100" w:line="264" w:lineRule="auto"/>
      </w:pPr>
      <w:r>
        <w:rPr>
          <w:rFonts w:ascii="Calibri" w:hAnsi="Calibri"/>
          <w:b/>
          <w:i w:val="0"/>
          <w:color w:val="17463A"/>
          <w:sz w:val="20"/>
        </w:rPr>
        <w:t xml:space="preserve">Atividade principal: </w:t>
      </w:r>
      <w:r>
        <w:rPr>
          <w:rFonts w:ascii="Calibri" w:hAnsi="Calibri"/>
          <w:b w:val="0"/>
          <w:i w:val="0"/>
          <w:color w:val="1D2522"/>
          <w:sz w:val="20"/>
        </w:rPr>
        <w:t>operação de uma rede regional de supermercados, com 12 lojas e um centro de distribuição no interior do Estado de São Paulo.</w:t>
      </w:r>
    </w:p>
    <w:p>
      <w:pPr>
        <w:spacing w:before="0" w:after="0" w:line="264" w:lineRule="auto"/>
      </w:pPr>
      <w:r>
        <w:rPr>
          <w:rFonts w:ascii="Calibri" w:hAnsi="Calibri"/>
          <w:b/>
          <w:i w:val="0"/>
          <w:color w:val="17463A"/>
          <w:sz w:val="20"/>
        </w:rPr>
        <w:t xml:space="preserve">Contato para a operação: </w:t>
      </w:r>
      <w:r>
        <w:rPr>
          <w:rFonts w:ascii="Calibri" w:hAnsi="Calibri"/>
          <w:b w:val="0"/>
          <w:i w:val="0"/>
          <w:color w:val="1D2522"/>
          <w:sz w:val="20"/>
        </w:rPr>
        <w:t>Fernanda Lima, diretora financeira fictícia | fernanda.lima@redehorizonte.example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/>
        <w:b w:val="0"/>
        <w:i w:val="0"/>
        <w:color w:val="64706B"/>
        <w:sz w:val="16"/>
      </w:rPr>
      <w:t>Documento sintético para teste da plataforma Offroad Capital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Calibri" w:hAnsi="Calibri"/>
        <w:b/>
        <w:i w:val="0"/>
        <w:color w:val="64706B"/>
        <w:sz w:val="17"/>
      </w:rPr>
      <w:t>REDE HORIZONTE ALIMENTOS S.A.  |  CADASTRO DA COMPANHIA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D25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746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746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463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Cadastral - Rede Horizonte Alimentos S.A.</dc:title>
  <dc:subject>Cadastro fictício da companhia para teste da Offroad Capital</dc:subject>
  <dc:creator>Rede Horizonte Alimentos S.A. - caso sintético</dc:creator>
  <cp:keywords>fictício, companhia, cadastro, financiamento, Offroad Capital</cp:keywords>
  <dc:description>Todos os dados são sintéticos.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