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/>
          <w:b/>
          <w:i w:val="0"/>
          <w:color w:val="1E2522"/>
          <w:sz w:val="46"/>
        </w:rPr>
        <w:t>CARTA DA ADMINISTRAÇÃO</w:t>
      </w:r>
    </w:p>
    <w:p>
      <w:pPr>
        <w:spacing w:before="0" w:after="320" w:line="264" w:lineRule="auto"/>
      </w:pPr>
      <w:r>
        <w:rPr>
          <w:rFonts w:ascii="Calibri" w:hAnsi="Calibri"/>
          <w:b w:val="0"/>
          <w:i w:val="0"/>
          <w:color w:val="5C6561"/>
          <w:sz w:val="28"/>
        </w:rPr>
        <w:t>Pedido de financiamento e racional para abertura de três novas lojas</w:t>
      </w:r>
    </w:p>
    <w:p>
      <w:pPr>
        <w:spacing w:before="0" w:after="40" w:line="264" w:lineRule="auto"/>
      </w:pPr>
      <w:r>
        <w:rPr>
          <w:rFonts w:ascii="Calibri" w:hAnsi="Calibri"/>
          <w:b w:val="0"/>
          <w:i w:val="0"/>
          <w:color w:val="1E2522"/>
          <w:sz w:val="22"/>
        </w:rPr>
      </w:r>
      <w:r>
        <w:rPr>
          <w:rFonts w:ascii="Calibri" w:hAnsi="Calibri"/>
          <w:b/>
          <w:i w:val="0"/>
          <w:color w:val="1E2522"/>
          <w:sz w:val="22"/>
        </w:rPr>
        <w:t xml:space="preserve">De: </w:t>
      </w:r>
      <w:r>
        <w:rPr>
          <w:rFonts w:ascii="Calibri" w:hAnsi="Calibri"/>
          <w:b w:val="0"/>
          <w:i w:val="0"/>
          <w:color w:val="1E2522"/>
          <w:sz w:val="22"/>
        </w:rPr>
        <w:t>Diretor Financeiro - Rede Horizonte Alimentos S.A.</w:t>
      </w:r>
    </w:p>
    <w:p>
      <w:pPr>
        <w:spacing w:before="0" w:after="40" w:line="264" w:lineRule="auto"/>
      </w:pPr>
      <w:r>
        <w:rPr>
          <w:rFonts w:ascii="Calibri" w:hAnsi="Calibri"/>
          <w:b w:val="0"/>
          <w:i w:val="0"/>
          <w:color w:val="1E2522"/>
          <w:sz w:val="22"/>
        </w:rPr>
      </w:r>
      <w:r>
        <w:rPr>
          <w:rFonts w:ascii="Calibri" w:hAnsi="Calibri"/>
          <w:b/>
          <w:i w:val="0"/>
          <w:color w:val="1E2522"/>
          <w:sz w:val="22"/>
        </w:rPr>
        <w:t xml:space="preserve">Para: </w:t>
      </w:r>
      <w:r>
        <w:rPr>
          <w:rFonts w:ascii="Calibri" w:hAnsi="Calibri"/>
          <w:b w:val="0"/>
          <w:i w:val="0"/>
          <w:color w:val="1E2522"/>
          <w:sz w:val="22"/>
        </w:rPr>
        <w:t>Equipe de Originação - Offroad Capital</w:t>
      </w:r>
    </w:p>
    <w:p>
      <w:pPr>
        <w:spacing w:before="0" w:after="40" w:line="264" w:lineRule="auto"/>
      </w:pPr>
      <w:r>
        <w:rPr>
          <w:rFonts w:ascii="Calibri" w:hAnsi="Calibri"/>
          <w:b w:val="0"/>
          <w:i w:val="0"/>
          <w:color w:val="1E2522"/>
          <w:sz w:val="22"/>
        </w:rPr>
      </w:r>
      <w:r>
        <w:rPr>
          <w:rFonts w:ascii="Calibri" w:hAnsi="Calibri"/>
          <w:b/>
          <w:i w:val="0"/>
          <w:color w:val="1E2522"/>
          <w:sz w:val="22"/>
        </w:rPr>
        <w:t xml:space="preserve">Data: </w:t>
      </w:r>
      <w:r>
        <w:rPr>
          <w:rFonts w:ascii="Calibri" w:hAnsi="Calibri"/>
          <w:b w:val="0"/>
          <w:i w:val="0"/>
          <w:color w:val="1E2522"/>
          <w:sz w:val="22"/>
        </w:rPr>
        <w:t>17 de agosto de 2026</w:t>
      </w:r>
    </w:p>
    <w:p>
      <w:pPr>
        <w:spacing w:before="0" w:after="40" w:line="264" w:lineRule="auto"/>
      </w:pPr>
      <w:r>
        <w:rPr>
          <w:rFonts w:ascii="Calibri" w:hAnsi="Calibri"/>
          <w:b w:val="0"/>
          <w:i w:val="0"/>
          <w:color w:val="1E2522"/>
          <w:sz w:val="22"/>
        </w:rPr>
      </w:r>
      <w:r>
        <w:rPr>
          <w:rFonts w:ascii="Calibri" w:hAnsi="Calibri"/>
          <w:b/>
          <w:i w:val="0"/>
          <w:color w:val="1E2522"/>
          <w:sz w:val="22"/>
        </w:rPr>
        <w:t xml:space="preserve">Assunto: </w:t>
      </w:r>
      <w:r>
        <w:rPr>
          <w:rFonts w:ascii="Calibri" w:hAnsi="Calibri"/>
          <w:b w:val="0"/>
          <w:i w:val="0"/>
          <w:color w:val="1E2522"/>
          <w:sz w:val="22"/>
        </w:rPr>
        <w:t>Captação de R$ 54 milhões e plano de expansão regional</w:t>
      </w:r>
    </w:p>
    <w:p>
      <w:pPr>
        <w:spacing w:before="0" w:after="40" w:line="264" w:lineRule="auto"/>
      </w:pPr>
      <w:r>
        <w:rPr>
          <w:rFonts w:ascii="Calibri" w:hAnsi="Calibri"/>
          <w:b w:val="0"/>
          <w:i w:val="0"/>
          <w:color w:val="1E2522"/>
          <w:sz w:val="22"/>
        </w:rPr>
      </w:r>
      <w:r>
        <w:rPr>
          <w:rFonts w:ascii="Calibri" w:hAnsi="Calibri"/>
          <w:b/>
          <w:i w:val="0"/>
          <w:color w:val="1E2522"/>
          <w:sz w:val="22"/>
        </w:rPr>
        <w:t xml:space="preserve">Status: </w:t>
      </w:r>
      <w:r>
        <w:rPr>
          <w:rFonts w:ascii="Calibri" w:hAnsi="Calibri"/>
          <w:b w:val="0"/>
          <w:i w:val="0"/>
          <w:color w:val="1E2522"/>
          <w:sz w:val="22"/>
        </w:rPr>
        <w:t>Material preliminar para análise; sujeito a diligência e aprovação</w:t>
      </w:r>
    </w:p>
    <w:p>
      <w:pPr>
        <w:pStyle w:val="Heading1"/>
      </w:pPr>
      <w:r>
        <w:t>1. Resumo do pedido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E2522"/>
          <w:sz w:val="22"/>
        </w:rPr>
        <w:t>Estamos avaliando uma captação total de R$ 54 milhões. A operação foi pensada em duas partes: R$ 35 milhões para financiar a abertura de três novas lojas e R$ 19 milhões para quitar duas linhas de curto prazo que vencem entre dezembro de 2026 e março de 2027. O refinanciamento não aumenta os recursos disponíveis para o capex; ele alonga o perfil e evita que a implantação concorra com amortizações próximas.</w:t>
      </w:r>
    </w:p>
    <w:p>
      <w:pPr>
        <w:spacing w:before="120" w:after="240" w:line="264" w:lineRule="auto"/>
        <w:ind w:left="259" w:right="259"/>
        <w:shd w:fill="F6F3EA"/>
      </w:pPr>
      <w:r>
        <w:rPr>
          <w:rFonts w:ascii="Calibri" w:hAnsi="Calibri"/>
          <w:b w:val="0"/>
          <w:i w:val="0"/>
          <w:color w:val="1E2522"/>
          <w:sz w:val="22"/>
        </w:rPr>
      </w:r>
      <w:r>
        <w:rPr>
          <w:rFonts w:ascii="Calibri" w:hAnsi="Calibri"/>
          <w:b/>
          <w:i w:val="0"/>
          <w:color w:val="17463A"/>
          <w:sz w:val="22"/>
        </w:rPr>
        <w:t xml:space="preserve">Texto livre da administração: </w:t>
      </w:r>
      <w:r>
        <w:rPr>
          <w:rFonts w:ascii="Calibri" w:hAnsi="Calibri"/>
          <w:b w:val="0"/>
          <w:i w:val="0"/>
          <w:color w:val="1E2522"/>
          <w:sz w:val="22"/>
        </w:rPr>
        <w:t>A ideia é levantar algo na faixa de R$ 50 a 55 milhões. O projeto das três lojas custa aproximadamente R$ 50 milhões; na planilha detalhada ele soma R$ 49 milhões. Os acionistas pretendem colocar R$ 10 milhões de equity e a companhia usará R$ 4 milhões do próprio caixa. O restante do pedido serve para trocar dívida curta por uma estrutura com prazo compatível com o ramp-up.</w:t>
      </w:r>
    </w:p>
    <w:p>
      <w:pPr>
        <w:pStyle w:val="Heading1"/>
      </w:pPr>
      <w:r>
        <w:t>2. Operação atual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E2522"/>
          <w:sz w:val="22"/>
        </w:rPr>
        <w:t>A Rede Horizonte opera 12 supermercados e um centro de distribuição no interior de São Paulo. A companhia combina varejo de loja, distribuição regional e produtos de marca própria. As demonstrações de 2023 a 2025 foram auditadas; julho de 2026 corresponde a fechamento gerencial ainda não auditado.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1500"/>
        <w:gridCol w:w="1500"/>
        <w:gridCol w:w="1500"/>
        <w:gridCol w:w="2460"/>
      </w:tblGrid>
      <w:tr>
        <w:tc>
          <w:tcPr>
            <w:tcW w:type="dxa" w:w="2400"/>
            <w:shd w:fill="1746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</w:t>
            </w:r>
          </w:p>
        </w:tc>
        <w:tc>
          <w:tcPr>
            <w:tcW w:type="dxa" w:w="1500"/>
            <w:shd w:fill="1746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2023A</w:t>
            </w:r>
          </w:p>
        </w:tc>
        <w:tc>
          <w:tcPr>
            <w:tcW w:type="dxa" w:w="1500"/>
            <w:shd w:fill="1746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2024A</w:t>
            </w:r>
          </w:p>
        </w:tc>
        <w:tc>
          <w:tcPr>
            <w:tcW w:type="dxa" w:w="1500"/>
            <w:shd w:fill="1746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2025A</w:t>
            </w:r>
          </w:p>
        </w:tc>
        <w:tc>
          <w:tcPr>
            <w:tcW w:type="dxa" w:w="2460"/>
            <w:shd w:fill="1746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7M26 / jul-26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Receita líquida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R$ 142,6m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R$ 164,3m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R$ 184,7m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R$ 123,0m em 7M26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EBITDA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R$ 20,2m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R$ 25,5m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R$ 30,4m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R$ 20,8m em 7M26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Margem EBITDA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14,2%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15,5%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16,5%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16,9%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Dívida bruta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R$ 52,0m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R$ 60,0m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R$ 65,0m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R$ 68,0m em jul/26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Caixa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R$ 7,1m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R$ 8,0m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R$ 8,6m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R$ 9,3m em jul/26</w:t>
            </w:r>
          </w:p>
        </w:tc>
      </w:tr>
    </w:tbl>
    <w:p>
      <w:pPr>
        <w:spacing w:after="40"/>
      </w:pPr>
    </w:p>
    <w:p>
      <w:pPr>
        <w:pStyle w:val="Heading1"/>
      </w:pPr>
      <w:r>
        <w:t>3. Projeto de expansão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E2522"/>
          <w:sz w:val="22"/>
        </w:rPr>
        <w:t>O plano prevê lojas em cidades nas quais já temos distribuição, fornecedores e reconhecimento de marca, mas ainda não possuímos cobertura suficiente de varejo. As datas abaixo são metas e dependem de licenças, entrega de obras e contratação de equipes.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1800"/>
        <w:gridCol w:w="2100"/>
        <w:gridCol w:w="1860"/>
      </w:tblGrid>
      <w:tr>
        <w:tc>
          <w:tcPr>
            <w:tcW w:type="dxa" w:w="1800"/>
            <w:shd w:fill="1746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Cidade</w:t>
            </w:r>
          </w:p>
        </w:tc>
        <w:tc>
          <w:tcPr>
            <w:tcW w:type="dxa" w:w="1800"/>
            <w:shd w:fill="1746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Abertura-alvo</w:t>
            </w:r>
          </w:p>
        </w:tc>
        <w:tc>
          <w:tcPr>
            <w:tcW w:type="dxa" w:w="1800"/>
            <w:shd w:fill="1746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Investimento</w:t>
            </w:r>
          </w:p>
        </w:tc>
        <w:tc>
          <w:tcPr>
            <w:tcW w:type="dxa" w:w="2100"/>
            <w:shd w:fill="1746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Receita estabilizada</w:t>
            </w:r>
          </w:p>
        </w:tc>
        <w:tc>
          <w:tcPr>
            <w:tcW w:type="dxa" w:w="1860"/>
            <w:shd w:fill="1746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Margem EBITDA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Franca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abril/2027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R$ 14,6m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R$ 32,0m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14,2%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Araraquara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julho/2027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R$ 15,2m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R$ 29,0m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13,8%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São Carlos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outubro/2027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R$ 15,8m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R$ 33,0m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14,5%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CD, sistemas e implantação comum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dez/2026-mar/2027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R$ 3,4m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-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-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Total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R$ 49,0m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R$ 94,0m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~14,2%</w:t>
            </w:r>
          </w:p>
        </w:tc>
      </w:tr>
    </w:tbl>
    <w:p>
      <w:pPr>
        <w:spacing w:after="40"/>
      </w:pPr>
    </w:p>
    <w:p>
      <w:pPr>
        <w:pStyle w:val="Heading1"/>
      </w:pPr>
      <w:r>
        <w:t>4. Racional comercial e ramp-up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1E2522"/>
          <w:sz w:val="22"/>
        </w:rPr>
        <w:t>As três cidades já são atendidas pela distribuição da Rede Horizonte, permitindo usar compras, logística e sortimento existentes.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1E2522"/>
          <w:sz w:val="22"/>
        </w:rPr>
        <w:t>As lojas serão abertas em ondas trimestrais para reduzir o risco de execução simultânea e preservar capacidade de gestão.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1E2522"/>
          <w:sz w:val="22"/>
        </w:rPr>
        <w:t>O modelo assume 18 meses até estabilização. Os três primeiros meses podem ter EBITDA próximo de zero ou negativo devido a perdas de abertura, equipe e marketing.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1E2522"/>
          <w:sz w:val="22"/>
        </w:rPr>
        <w:t>No cenário-base, o projeto adiciona aproximadamente R$ 24,6 milhões de receita e R$ 1,2 milhão de EBITDA em 2027; R$ 85,7 milhões e R$ 11,4 milhões em 2028; e atinge cerca de R$ 94,0 milhões de receita e R$ 13,3 milhões de EBITDA em 2029.</w:t>
      </w:r>
    </w:p>
    <w:p>
      <w:pPr>
        <w:pStyle w:val="Heading1"/>
      </w:pPr>
      <w:r>
        <w:t>5. Fontes, usos e impacto de alavancagem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680"/>
        <w:gridCol w:w="3000"/>
        <w:gridCol w:w="1680"/>
      </w:tblGrid>
      <w:tr>
        <w:tc>
          <w:tcPr>
            <w:tcW w:type="dxa" w:w="3000"/>
            <w:shd w:fill="1746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Usos</w:t>
            </w:r>
          </w:p>
        </w:tc>
        <w:tc>
          <w:tcPr>
            <w:tcW w:type="dxa" w:w="1680"/>
            <w:shd w:fill="1746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R$ milhões</w:t>
            </w:r>
          </w:p>
        </w:tc>
        <w:tc>
          <w:tcPr>
            <w:tcW w:type="dxa" w:w="3000"/>
            <w:shd w:fill="1746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Fontes</w:t>
            </w:r>
          </w:p>
        </w:tc>
        <w:tc>
          <w:tcPr>
            <w:tcW w:type="dxa" w:w="1680"/>
            <w:shd w:fill="1746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R$ milhões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Projeto de expansão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49,0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Dívida para expansão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35,0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Refinanciamento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19,0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Dívida para refinanciamento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19,0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Aporte dos acionistas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10,0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Caixa da companhia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4,0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Total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68,0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Total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68,0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E2522"/>
          <w:sz w:val="22"/>
        </w:rPr>
        <w:t>A dívida bruta passa de R$ 68 milhões em julho de 2026 para aproximadamente R$ 103 milhões após o fechamento, porque R$ 19 milhões são substituídos e R$ 35 milhões são incrementais. Considerando caixa de cerca de R$ 5,3 milhões após a contribuição da companhia e EBITDA 2026E de R$ 34 milhões, a alavancagem líquida inicial fica próxima de 2,9x. O business plan projeta redução para aproximadamente 2,3x em 2027 e 1,3x em 2028.</w:t>
      </w:r>
    </w:p>
    <w:p>
      <w:pPr>
        <w:pStyle w:val="Heading1"/>
      </w:pPr>
      <w:r>
        <w:t>6. Estrutura pretendida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1E2522"/>
          <w:sz w:val="22"/>
        </w:rPr>
        <w:t>Instrumento: dívida sênior garantida, em duas tranches com destinações separadas.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1E2522"/>
          <w:sz w:val="22"/>
        </w:rPr>
        <w:t>Prazo desejado: 60 meses, com 12 meses de carência de principal e amortização trimestral após a carência.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1E2522"/>
          <w:sz w:val="22"/>
        </w:rPr>
        <w:t>Custo usado no modelo: 13,0% a.a. all-in, equivalente à premissa de CDI de longo prazo mais spread indicativo de 4,50% a.a.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1E2522"/>
          <w:sz w:val="22"/>
        </w:rPr>
        <w:t>Desembolso da tranche de expansão condicionado a aporte de equity, contratos de obra e marcos de implantação.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1E2522"/>
          <w:sz w:val="22"/>
        </w:rPr>
        <w:t>Covenants propostos para discussão: DSCR mínimo de 1,35x, dívida líquida/EBITDA máxima de 3,25x e caixa mínimo de R$ 5 milhões.</w:t>
      </w:r>
    </w:p>
    <w:p>
      <w:pPr>
        <w:pStyle w:val="Heading1"/>
      </w:pPr>
      <w:r>
        <w:t>7. Garantias disponíveis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100"/>
        <w:gridCol w:w="2100"/>
        <w:gridCol w:w="2760"/>
      </w:tblGrid>
      <w:tr>
        <w:tc>
          <w:tcPr>
            <w:tcW w:type="dxa" w:w="2400"/>
            <w:shd w:fill="1746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Garantia</w:t>
            </w:r>
          </w:p>
        </w:tc>
        <w:tc>
          <w:tcPr>
            <w:tcW w:type="dxa" w:w="2100"/>
            <w:shd w:fill="1746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Base informada</w:t>
            </w:r>
          </w:p>
        </w:tc>
        <w:tc>
          <w:tcPr>
            <w:tcW w:type="dxa" w:w="2100"/>
            <w:shd w:fill="1746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Capacidade preliminar</w:t>
            </w:r>
          </w:p>
        </w:tc>
        <w:tc>
          <w:tcPr>
            <w:tcW w:type="dxa" w:w="2760"/>
            <w:shd w:fill="1746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Limitação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Recebíveis de cartão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R$ 21,4m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R$ 17,1m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Parte já cedida; elegibilidade mensal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Estoques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R$ 29,7m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R$ 15,0m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Exclusão de perecíveis, avarias e slow moving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CD e equipamentos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R$ 64,1m contábil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R$ 21,6m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Gravames existentes e necessidade de laudo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Total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R$ 53,8m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E2522"/>
                <w:sz w:val="18"/>
              </w:rPr>
              <w:t>Praticamente igual ao valor solicitado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E2522"/>
          <w:sz w:val="22"/>
        </w:rPr>
        <w:t>O centro de distribuição está hipotecado ao Banco Interior e parte dos equipamentos garante contratos atuais. Para a nova operação, será necessário compartilhar ou liberar gravames, obter laudos atualizados e confirmar quais recebíveis deixam de estar vinculados após o payoff das linhas refinanciadas.</w:t>
      </w:r>
    </w:p>
    <w:p>
      <w:pPr>
        <w:pStyle w:val="Heading1"/>
      </w:pPr>
      <w:r>
        <w:t>8. Principais riscos reconhecidos pela administração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1E2522"/>
          <w:sz w:val="22"/>
        </w:rPr>
        <w:t>Atraso de licenças e obras, especialmente se duas lojas entrarem em implantação simultânea.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1E2522"/>
          <w:sz w:val="22"/>
        </w:rPr>
        <w:t>Capex acima do orçamento, que ainda contém propostas preliminares e não vinculantes.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1E2522"/>
          <w:sz w:val="22"/>
        </w:rPr>
        <w:t>Ramp-up comercial mais lento ou margem inferior à esperada em cidades novas.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1E2522"/>
          <w:sz w:val="22"/>
        </w:rPr>
        <w:t>Pressão de liquidez no período entre desembolso do capex e geração de caixa das lojas.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1E2522"/>
          <w:sz w:val="22"/>
        </w:rPr>
        <w:t>Dependência de liberação de garantias atualmente vinculadas a credores existentes.</w:t>
      </w:r>
    </w:p>
    <w:p>
      <w:pPr>
        <w:pStyle w:val="Heading1"/>
      </w:pPr>
      <w:r>
        <w:t>9. Documentos enviados com esta carta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1E2522"/>
          <w:sz w:val="22"/>
        </w:rPr>
        <w:t>Demonstrações financeiras auditadas de 2023 a 2025, com notas explicativas.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1E2522"/>
          <w:sz w:val="22"/>
        </w:rPr>
        <w:t>Exportação do ERP contendo DRE mensal de 2024 a julho de 2026 e balancete de 2025 a julho de 2026.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1E2522"/>
          <w:sz w:val="22"/>
        </w:rPr>
        <w:t>Mapa de dívida, recebíveis, estoques, imóveis e equipamentos em julho de 2026.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1E2522"/>
          <w:sz w:val="22"/>
        </w:rPr>
        <w:t>Business plan das três lojas, incluindo capex, ramp-up, fontes e usos, dívida pro forma e cenários.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1E2522"/>
          <w:sz w:val="22"/>
        </w:rPr>
        <w:t>Parecer contábil sobre informações intermediárias de julho de 2026 e memorial descritivo da expansão.</w:t>
      </w:r>
    </w:p>
    <w:p>
      <w:pPr>
        <w:pStyle w:val="Heading1"/>
      </w:pPr>
      <w:r>
        <w:t>10. Pontos ainda em aberto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1E2522"/>
          <w:sz w:val="22"/>
        </w:rPr>
        <w:t>Cartas de saldo e instruções de payoff para DIV-001 e DIV-006.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1E2522"/>
          <w:sz w:val="22"/>
        </w:rPr>
        <w:t>Laudos atualizados do centro de distribuição e dos equipamentos oferecidos.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1E2522"/>
          <w:sz w:val="22"/>
        </w:rPr>
        <w:t>Comprovação do aporte de R$ 10 milhões pelos acionistas.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1E2522"/>
          <w:sz w:val="22"/>
        </w:rPr>
        <w:t>Licenças, contratos de locação e orçamentos finais de obras das três lojas.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1E2522"/>
          <w:sz w:val="22"/>
        </w:rPr>
        <w:t>Definições finais de CFADS, covenants, contas controladas e periodicidade de reporting.</w:t>
      </w:r>
    </w:p>
    <w:p>
      <w:pPr>
        <w:spacing w:before="240" w:after="360" w:line="264" w:lineRule="auto"/>
      </w:pPr>
      <w:r>
        <w:rPr>
          <w:rFonts w:ascii="Calibri" w:hAnsi="Calibri"/>
          <w:b w:val="0"/>
          <w:i w:val="0"/>
          <w:color w:val="1E2522"/>
          <w:sz w:val="22"/>
        </w:rPr>
        <w:t>Atenciosamente,</w:t>
      </w:r>
    </w:p>
    <w:p>
      <w:pPr>
        <w:spacing w:before="0" w:after="40" w:line="264" w:lineRule="auto"/>
      </w:pPr>
      <w:r>
        <w:rPr>
          <w:rFonts w:ascii="Calibri" w:hAnsi="Calibri"/>
          <w:b/>
          <w:i w:val="0"/>
          <w:color w:val="1E2522"/>
          <w:sz w:val="22"/>
        </w:rPr>
        <w:t>Diretor Financeiro</w:t>
      </w:r>
    </w:p>
    <w:p>
      <w:pPr>
        <w:spacing w:before="0" w:after="320" w:line="264" w:lineRule="auto"/>
      </w:pPr>
      <w:r>
        <w:rPr>
          <w:rFonts w:ascii="Calibri" w:hAnsi="Calibri"/>
          <w:b w:val="0"/>
          <w:i w:val="0"/>
          <w:color w:val="5C6561"/>
          <w:sz w:val="22"/>
        </w:rPr>
        <w:t>Rede Horizonte Alimentos S.A.</w:t>
      </w:r>
    </w:p>
    <w:p>
      <w:pPr>
        <w:spacing w:before="0" w:after="0" w:line="264" w:lineRule="auto"/>
      </w:pPr>
      <w:r>
        <w:rPr>
          <w:rFonts w:ascii="Calibri" w:hAnsi="Calibri"/>
          <w:b w:val="0"/>
          <w:i/>
          <w:color w:val="5C6561"/>
          <w:sz w:val="18"/>
        </w:rPr>
        <w:t>Documento integralmente fictício, preparado exclusivamente para teste da jornada da Offroad Capital. Não representa empresa, auditor, credor, garantia ou recomendação de crédito real.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C6561"/>
        <w:sz w:val="17"/>
      </w:rPr>
      <w:t xml:space="preserve">CASO SINTÉTICO | AGOSTO 2026 | PÁGINA </w:t>
    </w:r>
    <w:r>
      <w:rPr>
        <w:rFonts w:ascii="Calibri" w:hAnsi="Calibri"/>
        <w:b w:val="0"/>
        <w:i w:val="0"/>
        <w:color w:val="5C6561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C6561"/>
        <w:sz w:val="17"/>
      </w:rPr>
      <w:t>REDE HORIZONTE | SOLICITAÇÃO DE FINANCIAMENTO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E25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746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746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