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Camil Alimentos S.A. (simulação): política de caixa mínimo</w:t>
      </w:r>
    </w:p>
    <w:p>
      <w:r>
        <w:t xml:space="preserve">FIXTURE SINTÉTICA PARA TESTE DE PLATAFORMA. Dados gerenciais inventados, calibrados às demonstrações públicas da Camil (ITR de 31/05/2026). Não representam informação da companhia.</w:t>
      </w:r>
    </w:p>
    <w:p>
      <w:r>
        <w:t xml:space="preserve">Regra: caixa mínimo de R$ 900 milhões, cerca de trinta dias de receita líquida, mais cobertura de 1,0x do serviço da dívida dos doze meses seguintes com caixa e linhas comprometidas.</w:t>
      </w:r>
    </w:p>
    <w:tbl>
      <w:tblPr>
        <w:tblStyle w:val="TableGrid"/>
      </w:tblPr>
      <w:tr>
        <w:tc>
          <w:tcPr/>
          <w:p>
            <w:r>
              <w:t xml:space="preserve">Parâmetro</w:t>
            </w:r>
          </w:p>
        </w:tc>
        <w:tc>
          <w:tcPr/>
          <w:p>
            <w:r>
              <w:t xml:space="preserve">Valor</w:t>
            </w:r>
          </w:p>
        </w:tc>
      </w:tr>
      <w:tr>
        <w:tc>
          <w:tcPr/>
          <w:p>
            <w:r>
              <w:t xml:space="preserve">Piso de caixa (R$ mil)</w:t>
            </w:r>
          </w:p>
        </w:tc>
        <w:tc>
          <w:tcPr/>
          <w:p>
            <w:r>
              <w:t xml:space="preserve">900.000</w:t>
            </w:r>
          </w:p>
        </w:tc>
      </w:tr>
      <w:tr>
        <w:tc>
          <w:tcPr/>
          <w:p>
            <w:r>
              <w:t xml:space="preserve">Linhas comprometidas (R$ mil)</w:t>
            </w:r>
          </w:p>
        </w:tc>
        <w:tc>
          <w:tcPr/>
          <w:p>
            <w:r>
              <w:t xml:space="preserve">0</w:t>
            </w:r>
          </w:p>
        </w:tc>
      </w:tr>
      <w:tr>
        <w:tc>
          <w:tcPr/>
          <w:p>
            <w:r>
              <w:t xml:space="preserve">Revisão</w:t>
            </w:r>
          </w:p>
        </w:tc>
        <w:tc>
          <w:tcPr/>
          <w:p>
            <w:r>
              <w:t xml:space="preserve">anual, no orçamento</w:t>
            </w:r>
          </w:p>
        </w:tc>
      </w:tr>
    </w:tbl>
    <w:p>
      <w:r>
        <w:t xml:space="preserve">Caixa elegível: caixa e equivalentes mais aplicações financeiras de liquidez imediata; aplicações com prazo acima de noventa dias não contam para o piso.</w:t>
      </w:r>
    </w:p>
    <w:sectPr/>
  </w:body>
</w:document>
</file>