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Nimbus: gestão de frotas como software</w:t>
      </w:r>
    </w:p>
    <w:p>
      <w:r>
        <w:t xml:space="preserve">Nimbus Tecnologia em Gestão de Frotas S.A., CNPJ 41.207.553/0001-09, fundada em 2019 em São Paulo/SP. 96 pessoas. Plataforma SaaS de gestão de frotas e telemetria para transportadoras, cooperativas e operadores logísticos.</w:t>
      </w:r>
    </w:p>
    <w:p>
      <w:pPr>
        <w:pStyle w:val="Heading1"/>
      </w:pPr>
      <w:r>
        <w:t xml:space="preserve">Tração</w:t>
      </w:r>
    </w:p>
    <w:p>
      <w:r>
        <w:t xml:space="preserve">ARR de R$ 40 milhões em julho de 2026, 40 clientes corporativos, receita recorrente com contratos anuais. Receita de R$ 28,6 milhões em 2025 (+78% sobre 2024). Retenção líquida de receita de 115%.</w:t>
      </w:r>
    </w:p>
    <w:p>
      <w:pPr>
        <w:pStyle w:val="Heading1"/>
      </w:pPr>
      <w:r>
        <w:t xml:space="preserve">Time e governança</w:t>
      </w:r>
    </w:p>
    <w:tbl>
      <w:tblPr>
        <w:tblStyle w:val="TableGrid"/>
      </w:tblPr>
      <w:tr>
        <w:tc>
          <w:tcPr/>
          <w:p>
            <w:r>
              <w:t xml:space="preserve">Nome</w:t>
            </w:r>
          </w:p>
        </w:tc>
        <w:tc>
          <w:tcPr/>
          <w:p>
            <w:r>
              <w:t xml:space="preserve">Cargo</w:t>
            </w:r>
          </w:p>
        </w:tc>
        <w:tc>
          <w:tcPr/>
          <w:p>
            <w:r>
              <w:t xml:space="preserve">Desde</w:t>
            </w:r>
          </w:p>
        </w:tc>
      </w:tr>
      <w:tr>
        <w:tc>
          <w:tcPr/>
          <w:p>
            <w:r>
              <w:t xml:space="preserve">Ana Ribeiro</w:t>
            </w:r>
          </w:p>
        </w:tc>
        <w:tc>
          <w:tcPr/>
          <w:p>
            <w:r>
              <w:t xml:space="preserve">Diretora-presidente</w:t>
            </w:r>
          </w:p>
        </w:tc>
        <w:tc>
          <w:tcPr/>
          <w:p>
            <w:r>
              <w:t xml:space="preserve">2019</w:t>
            </w:r>
          </w:p>
        </w:tc>
      </w:tr>
      <w:tr>
        <w:tc>
          <w:tcPr/>
          <w:p>
            <w:r>
              <w:t xml:space="preserve">Tiago Mendes</w:t>
            </w:r>
          </w:p>
        </w:tc>
        <w:tc>
          <w:tcPr/>
          <w:p>
            <w:r>
              <w:t xml:space="preserve">Diretor de tecnologia</w:t>
            </w:r>
          </w:p>
        </w:tc>
        <w:tc>
          <w:tcPr/>
          <w:p>
            <w:r>
              <w:t xml:space="preserve">2019</w:t>
            </w:r>
          </w:p>
        </w:tc>
      </w:tr>
      <w:tr>
        <w:tc>
          <w:tcPr/>
          <w:p>
            <w:r>
              <w:t xml:space="preserve">Paula Nakamura</w:t>
            </w:r>
          </w:p>
        </w:tc>
        <w:tc>
          <w:tcPr/>
          <w:p>
            <w:r>
              <w:t xml:space="preserve">Diretora financeira</w:t>
            </w:r>
          </w:p>
        </w:tc>
        <w:tc>
          <w:tcPr/>
          <w:p>
            <w:r>
              <w:t xml:space="preserve">2024</w:t>
            </w:r>
          </w:p>
        </w:tc>
      </w:tr>
    </w:tbl>
    <w:p>
      <w:pPr>
        <w:pStyle w:val="Heading1"/>
      </w:pPr>
      <w:r>
        <w:t xml:space="preserve">Investidores</w:t>
      </w:r>
    </w:p>
    <w:p>
      <w:r>
        <w:t xml:space="preserve">Série A de R$ 48,0 milhões liderada por Horizonte Capital Growth FIP em 14/03/2025, valuation post-money de R$ 240,0 milhões. Seed por Aurora Ventures II.</w:t>
      </w:r>
    </w:p>
    <w:tbl>
      <w:tblPr>
        <w:tblStyle w:val="TableGrid"/>
      </w:tblPr>
      <w:tr>
        <w:tc>
          <w:tcPr/>
          <w:p>
            <w:r>
              <w:t xml:space="preserve">Acionista</w:t>
            </w:r>
          </w:p>
        </w:tc>
        <w:tc>
          <w:tcPr/>
          <w:p>
            <w:r>
              <w:t xml:space="preserve">Participação</w:t>
            </w:r>
          </w:p>
        </w:tc>
        <w:tc>
          <w:tcPr/>
          <w:p>
            <w:r>
              <w:t xml:space="preserve">Papel</w:t>
            </w:r>
          </w:p>
        </w:tc>
      </w:tr>
      <w:tr>
        <w:tc>
          <w:tcPr/>
          <w:p>
            <w:r>
              <w:t xml:space="preserve">Ana Ribeiro</w:t>
            </w:r>
          </w:p>
        </w:tc>
        <w:tc>
          <w:tcPr/>
          <w:p>
            <w:r>
              <w:t xml:space="preserve">28%</w:t>
            </w:r>
          </w:p>
        </w:tc>
        <w:tc>
          <w:tcPr/>
          <w:p>
            <w:r>
              <w:t xml:space="preserve">Fundadora, CEO</w:t>
            </w:r>
          </w:p>
        </w:tc>
      </w:tr>
      <w:tr>
        <w:tc>
          <w:tcPr/>
          <w:p>
            <w:r>
              <w:t xml:space="preserve">Tiago Mendes</w:t>
            </w:r>
          </w:p>
        </w:tc>
        <w:tc>
          <w:tcPr/>
          <w:p>
            <w:r>
              <w:t xml:space="preserve">22%</w:t>
            </w:r>
          </w:p>
        </w:tc>
        <w:tc>
          <w:tcPr/>
          <w:p>
            <w:r>
              <w:t xml:space="preserve">Fundador, CTO</w:t>
            </w:r>
          </w:p>
        </w:tc>
      </w:tr>
      <w:tr>
        <w:tc>
          <w:tcPr/>
          <w:p>
            <w:r>
              <w:t xml:space="preserve">Horizonte Capital Growth FIP</w:t>
            </w:r>
          </w:p>
        </w:tc>
        <w:tc>
          <w:tcPr/>
          <w:p>
            <w:r>
              <w:t xml:space="preserve">25%</w:t>
            </w:r>
          </w:p>
        </w:tc>
        <w:tc>
          <w:tcPr/>
          <w:p>
            <w:r>
              <w:t xml:space="preserve">Investidor líder da Série A</w:t>
            </w:r>
          </w:p>
        </w:tc>
      </w:tr>
      <w:tr>
        <w:tc>
          <w:tcPr/>
          <w:p>
            <w:r>
              <w:t xml:space="preserve">Aurora Ventures II FIP</w:t>
            </w:r>
          </w:p>
        </w:tc>
        <w:tc>
          <w:tcPr/>
          <w:p>
            <w:r>
              <w:t xml:space="preserve">15%</w:t>
            </w:r>
          </w:p>
        </w:tc>
        <w:tc>
          <w:tcPr/>
          <w:p>
            <w:r>
              <w:t xml:space="preserve">Investidor seed</w:t>
            </w:r>
          </w:p>
        </w:tc>
      </w:tr>
      <w:tr>
        <w:tc>
          <w:tcPr/>
          <w:p>
            <w:r>
              <w:t xml:space="preserve">Pool de opções (ESOP)</w:t>
            </w:r>
          </w:p>
        </w:tc>
        <w:tc>
          <w:tcPr/>
          <w:p>
            <w:r>
              <w:t xml:space="preserve">10%</w:t>
            </w:r>
          </w:p>
        </w:tc>
        <w:tc>
          <w:tcPr/>
          <w:p>
            <w:r>
              <w:t xml:space="preserve">Colaboradores</w:t>
            </w:r>
          </w:p>
        </w:tc>
      </w:tr>
    </w:tbl>
    <w:sectPr/>
  </w:body>
</w:document>
</file>