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Contact information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carlos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fr.mgmt@gmail.com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Cloud &amp; Infrastructure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AWS cli, Terraform, Docker, CI/CD (GitHub Actions)</w:t>
      </w:r>
    </w:p>
    <w:p w:rsidR="00000000" w:rsidDel="00000000" w:rsidP="00000000" w:rsidRDefault="00000000" w:rsidRPr="00000000" w14:paraId="00000006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Data Engineering, AI/ML &amp; Software Tools: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Apache Kafka, PostgreSQL, MongoDB, Solr, ETL/ELT Pipelines, TensorFlow, LLM Integration, Git, Jest</w:t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tabs>
          <w:tab w:val="left" w:leader="none" w:pos="900"/>
        </w:tabs>
        <w:spacing w:after="0" w:before="0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9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 capable of serving AI/ML model endpoints.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Supported in maintenance, and deployments of Quartz.NET background service to preserve data quality for a client-facing dashboard synced with a Citus/RDS that aggregates patient device data.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React/Vite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E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2">
      <w:pPr>
        <w:tabs>
          <w:tab w:val="left" w:leader="none" w:pos="-450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WRT World Enterprises | Systems and IT Intern</w:t>
        <w:tab/>
        <w:t xml:space="preserve">Miami, FL | June 2022 – August 2022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structured Excel databases to categorize and track hundreds of product details, making it easy for colleagues to quickly find specifications and answer client questions.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Managed the product information review process, checking technical specs and descriptions against source data to maintain a high standard of quality.</w:t>
      </w:r>
    </w:p>
    <w:p w:rsidR="00000000" w:rsidDel="00000000" w:rsidP="00000000" w:rsidRDefault="00000000" w:rsidRPr="00000000" w14:paraId="00000015">
      <w:pPr>
        <w:pBdr>
          <w:bottom w:color="000000" w:space="1" w:sz="6" w:val="single"/>
        </w:pBdr>
        <w:tabs>
          <w:tab w:val="left" w:leader="none" w:pos="900"/>
        </w:tabs>
        <w:spacing w:before="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6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Expected May 2027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August 2020 - May 2024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Codesmith Software Engineering Bootcamp  | Full-time Immersive</w:t>
        <w:tab/>
        <w:t xml:space="preserve">May 2023 - September 2023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D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and persisting them via ACID-compliant MongoDB.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20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Trained the DinoV2 model using Google Colab for 10 epochs, achieving 99.9% model accuracy.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GraphQL &amp; the N+1 Problem -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July 2023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 </w:t>
        <w:tab/>
      </w:r>
    </w:p>
    <w:sectPr>
      <w:type w:val="continuous"/>
      <w:pgSz w:h="15840" w:w="12240" w:orient="portrait"/>
      <w:pgMar w:bottom="1260" w:top="1170" w:left="1440" w:right="117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revilla123@gmail.com" TargetMode="External"/><Relationship Id="rId7" Type="http://schemas.openxmlformats.org/officeDocument/2006/relationships/hyperlink" Target="https://www.linkedin.com/in/carlosfrevill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