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2"/>
          <w:szCs w:val="22"/>
        </w:rPr>
        <w:t xml:space="preserve"/>
      </w:r>
    </w:p>
    <w:p>
      <w:pPr>
        <w:spacing w:after="120"/>
        <w:jc w:val="center"/>
      </w:pPr>
      <w:r>
        <w:rPr>
          <w:rFonts w:ascii="Arial" w:cs="Arial" w:eastAsia="Arial" w:hAnsi="Arial"/>
          <w:b/>
          <w:bCs/>
          <w:color w:val="EC1C24"/>
          <w:sz w:val="52"/>
          <w:szCs w:val="52"/>
        </w:rPr>
        <w:t xml:space="preserve">DOCUMENTO DE REQUERIMIENTOS DE NEGOCIO</w:t>
      </w:r>
    </w:p>
    <w:p>
      <w:pPr>
        <w:spacing w:after="600"/>
        <w:jc w:val="center"/>
      </w:pPr>
      <w:r>
        <w:rPr>
          <w:rFonts w:ascii="Arial" w:cs="Arial" w:eastAsia="Arial" w:hAnsi="Arial"/>
          <w:b/>
          <w:bCs/>
          <w:color w:val="4B5563"/>
          <w:sz w:val="36"/>
          <w:szCs w:val="36"/>
        </w:rPr>
        <w:t xml:space="preserve">Business Requirements Document (BRD)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Nombre del proyecto</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Migración y Modelado de Datos — Fondos Colectivos</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Empresa / Cliente</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Banco Santander Consumer Perú (SCP)</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Área solicitante</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Fondos Colectivos</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Gerente de proyecto</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Por definir</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Autor del documento</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Equipo de Datos — Proyecto Migración</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Fecha de elaboración</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Abril 2026</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Versión</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1.0 — Borrador inicial</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Estado</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BORRADOR</w:t>
            </w:r>
          </w:p>
        </w:tc>
      </w:tr>
      <w:tr>
        <w:tc>
          <w:tcPr>
            <w:tcW w:type="dxa" w:w="252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Clasificación</w:t>
            </w:r>
          </w:p>
        </w:tc>
        <w:tc>
          <w:tcPr>
            <w:tcW w:type="dxa" w:w="68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CONFIDENCIAL</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c>
          <w:tcPr>
            <w:tcW w:type="dxa" w:w="1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Versión</w:t>
            </w:r>
          </w:p>
        </w:tc>
        <w:tc>
          <w:tcPr>
            <w:tcW w:type="dxa" w:w="30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w:t>
            </w:r>
          </w:p>
        </w:tc>
        <w:tc>
          <w:tcPr>
            <w:tcW w:type="dxa" w:w="1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Fecha</w:t>
            </w:r>
          </w:p>
        </w:tc>
        <w:tc>
          <w:tcPr>
            <w:tcW w:type="dxa" w:w="27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Responsable</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120"/>
            </w:pPr>
            <w:r>
              <w:rPr>
                <w:rFonts w:ascii="Arial" w:cs="Arial" w:eastAsia="Arial" w:hAnsi="Arial"/>
                <w:sz w:val="22"/>
                <w:szCs w:val="22"/>
              </w:rPr>
              <w:t xml:space="preserve">1.0</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120"/>
            </w:pPr>
            <w:r>
              <w:rPr>
                <w:rFonts w:ascii="Arial" w:cs="Arial" w:eastAsia="Arial" w:hAnsi="Arial"/>
                <w:sz w:val="22"/>
                <w:szCs w:val="22"/>
              </w:rPr>
              <w:t xml:space="preserve">Borrador inicial — levantamiento de fuentes SANTO y Agenda Comercial</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120"/>
            </w:pPr>
            <w:r>
              <w:rPr>
                <w:rFonts w:ascii="Arial" w:cs="Arial" w:eastAsia="Arial" w:hAnsi="Arial"/>
                <w:sz w:val="22"/>
                <w:szCs w:val="22"/>
              </w:rPr>
              <w:t xml:space="preserve">Abril 2026</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120"/>
            </w:pPr>
            <w:r>
              <w:rPr>
                <w:rFonts w:ascii="Arial" w:cs="Arial" w:eastAsia="Arial" w:hAnsi="Arial"/>
                <w:sz w:val="22"/>
                <w:szCs w:val="22"/>
              </w:rPr>
              <w:t xml:space="preserve">Equipo Migración</w:t>
            </w:r>
          </w:p>
        </w:tc>
      </w:tr>
    </w:tbl>
    <w:p>
      <w:pPr>
        <w:pageBreakBefore/>
      </w:pPr>
      <w:r>
        <w:br/>
        <w:t xml:space="preserve"/>
      </w:r>
    </w:p>
    <w:p>
      <w:pPr>
        <w:spacing w:after="200"/>
      </w:pPr>
      <w:r>
        <w:rPr>
          <w:rFonts w:ascii="Arial" w:cs="Arial" w:eastAsia="Arial" w:hAnsi="Arial"/>
          <w:b/>
          <w:bCs/>
          <w:color w:val="1F4E79"/>
          <w:sz w:val="28"/>
          <w:szCs w:val="28"/>
        </w:rPr>
        <w:t xml:space="preserve">TABLA DE CONTENIDOS</w:t>
      </w:r>
    </w:p>
    <w:sdt>
      <w:sdtPr>
        <w:alias w:val="Tabla de Contenidos"/>
      </w:sdtPr>
      <w:sdtContent>
        <w:p>
          <w:r>
            <w:fldChar w:fldCharType="begin" w:dirty="true"/>
            <w:instrText xml:space="preserve">TOC \h \o "1-3" \t "Heading 1,1,Heading 2,2,Heading 3,3"</w:instrText>
            <w:fldChar w:fldCharType="separate"/>
          </w:r>
        </w:p>
        <w:p>
          <w:r>
            <w:fldChar w:fldCharType="end"/>
          </w:r>
        </w:p>
      </w:sdtContent>
    </w:sdt>
    <w:p>
      <w:pPr>
        <w:pageBreakBefore/>
      </w:pPr>
      <w:r>
        <w:br/>
        <w:t xml:space="preserve"/>
      </w:r>
    </w:p>
    <w:p>
      <w:pPr>
        <w:pStyle w:val="Heading1"/>
        <w:spacing w:after="160" w:before="400"/>
      </w:pPr>
      <w:r>
        <w:rPr>
          <w:rFonts w:ascii="Arial" w:cs="Arial" w:eastAsia="Arial" w:hAnsi="Arial"/>
          <w:b/>
          <w:bCs/>
          <w:color w:val="EC1C24"/>
          <w:sz w:val="36"/>
          <w:szCs w:val="36"/>
        </w:rPr>
        <w:t xml:space="preserve">1. Resumen ejecutivo</w:t>
      </w:r>
    </w:p>
    <w:p>
      <w:pPr>
        <w:spacing w:after="120"/>
      </w:pPr>
      <w:r>
        <w:rPr>
          <w:rFonts w:ascii="Arial" w:cs="Arial" w:eastAsia="Arial" w:hAnsi="Arial"/>
          <w:sz w:val="22"/>
          <w:szCs w:val="22"/>
        </w:rPr>
        <w:t xml:space="preserve">El presente documento recoge el levantamiento de información realizado con los usuarios finales del área de Fondos Colectivos del Banco Santander Consumer Perú (SCP), en el marco de un proyecto de migración, orquestación y modelado de bases de datos en la nube.</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objetivo es entender el estado actual (as-is) de las fuentes de datos, los sistemas que las alimentan, los procesos de negocio que las consumen, los indicadores que se calculan y las reglas de negocio implícitas que hoy residen principalmente en archivos Excel. Este entendimiento es el insumo fundamental para diseñar la arquitectura destino sobre Databricks (capas Bronze, Silver y Gold) y garantizar que los indicadores y reportes actuales puedan reproducirse y mejorarse en la plataforma objetivo.</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Alcance de este documento</w:t>
            </w:r>
          </w:p>
          <w:p>
            <w:pPr>
              <w:spacing w:after="60"/>
            </w:pPr>
            <w:r>
              <w:rPr>
                <w:rFonts w:ascii="Arial" w:cs="Arial" w:eastAsia="Arial" w:hAnsi="Arial"/>
                <w:sz w:val="22"/>
                <w:szCs w:val="22"/>
              </w:rPr>
              <w:t xml:space="preserve">Este BRD cubre únicamente el área de Fondos Colectivos (SCP) en su primera etapa de levantamiento.</w:t>
            </w:r>
          </w:p>
          <w:p>
            <w:pPr>
              <w:spacing w:after="60"/>
            </w:pPr>
            <w:r>
              <w:rPr>
                <w:rFonts w:ascii="Arial" w:cs="Arial" w:eastAsia="Arial" w:hAnsi="Arial"/>
                <w:sz w:val="22"/>
                <w:szCs w:val="22"/>
              </w:rPr>
              <w:t xml:space="preserve">Las fuentes documentadas son: SANTO (sistema Softek) y Agenda Comercial (Microsoft Lists / SharePoint).</w:t>
            </w:r>
          </w:p>
          <w:p>
            <w:pPr>
              <w:spacing w:after="60"/>
            </w:pPr>
            <w:r>
              <w:rPr>
                <w:rFonts w:ascii="Arial" w:cs="Arial" w:eastAsia="Arial" w:hAnsi="Arial"/>
                <w:sz w:val="22"/>
                <w:szCs w:val="22"/>
              </w:rPr>
              <w:t xml:space="preserve">Los referidos (fuente REFERIDOS) están identificados pero pendientes de sesión de levantamiento.</w:t>
            </w:r>
          </w:p>
          <w:p>
            <w:pPr>
              <w:spacing w:after="60"/>
            </w:pPr>
            <w:r>
              <w:rPr>
                <w:rFonts w:ascii="Arial" w:cs="Arial" w:eastAsia="Arial" w:hAnsi="Arial"/>
                <w:sz w:val="22"/>
                <w:szCs w:val="22"/>
              </w:rPr>
              <w:t xml:space="preserve">La arquitectura destino (Databricks, Cosmos DB, AWS) se define en un documento técnico separado.</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2. Descripción del proyecto</w:t>
      </w:r>
    </w:p>
    <w:p>
      <w:pPr>
        <w:pStyle w:val="Heading2"/>
        <w:pBdr>
          <w:bottom w:val="single" w:color="E5E7EB" w:sz="4" w:space="4"/>
        </w:pBdr>
        <w:spacing w:after="120" w:before="300"/>
      </w:pPr>
      <w:r>
        <w:rPr>
          <w:rFonts w:ascii="Arial" w:cs="Arial" w:eastAsia="Arial" w:hAnsi="Arial"/>
          <w:b/>
          <w:bCs/>
          <w:color w:val="1F4E79"/>
          <w:sz w:val="28"/>
          <w:szCs w:val="28"/>
        </w:rPr>
        <w:t xml:space="preserve">2.1 Contexto del negocio</w:t>
      </w:r>
    </w:p>
    <w:p>
      <w:pPr>
        <w:spacing w:after="120"/>
      </w:pPr>
      <w:r>
        <w:rPr>
          <w:rFonts w:ascii="Arial" w:cs="Arial" w:eastAsia="Arial" w:hAnsi="Arial"/>
          <w:sz w:val="22"/>
          <w:szCs w:val="22"/>
        </w:rPr>
        <w:t xml:space="preserve">Fondos Colectivos es una unidad de negocio de Banco Santander Consumer Perú que comercializa planes de ahorro colectivo vehicular. En este modelo, un grupo de clientes (asociados) realiza aportes mensuales a un fondo común; periódicamente, mediante sorteo o remate, uno de ellos recibe el bien (vehículo) financiado por el grupo. El producto se llama Fondo Tradicional (programa SAN001).</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negocio opera a través de múltiples canales de venta: ejecutivos SCP directos, clusters de agentes, canal digital (web/redes sociales), y alianzas con concesionarios (Autoland, Astara, Derco, etc.). Cada canal genera prospectos que pasan por un proceso de cotización, solicitud, evaluación crediticia y finalmente contratación (certificado).</w:t>
      </w:r>
    </w:p>
    <w:p>
      <w:pPr>
        <w:pStyle w:val="Heading2"/>
        <w:pBdr>
          <w:bottom w:val="single" w:color="E5E7EB" w:sz="4" w:space="4"/>
        </w:pBdr>
        <w:spacing w:after="120" w:before="300"/>
      </w:pPr>
      <w:r>
        <w:rPr>
          <w:rFonts w:ascii="Arial" w:cs="Arial" w:eastAsia="Arial" w:hAnsi="Arial"/>
          <w:b/>
          <w:bCs/>
          <w:color w:val="1F4E79"/>
          <w:sz w:val="28"/>
          <w:szCs w:val="28"/>
        </w:rPr>
        <w:t xml:space="preserve">2.2 Problema identificado</w:t>
      </w:r>
    </w:p>
    <w:p>
      <w:pPr>
        <w:spacing w:after="120"/>
      </w:pPr>
      <w:r>
        <w:rPr>
          <w:rFonts w:ascii="Arial" w:cs="Arial" w:eastAsia="Arial" w:hAnsi="Arial"/>
          <w:sz w:val="22"/>
          <w:szCs w:val="22"/>
        </w:rPr>
        <w:t xml:space="preserve">La gestión y análisis de datos del área se realiza actualmente de forma manual y fragmentada:</w:t>
      </w:r>
    </w:p>
    <w:p>
      <w:pPr>
        <w:pStyle w:val="ListParagraph"/>
        <w:numPr>
          <w:ilvl w:val="0"/>
          <w:numId w:val="2"/>
        </w:numPr>
        <w:spacing w:after="60"/>
      </w:pPr>
      <w:r>
        <w:rPr>
          <w:rFonts w:ascii="Arial" w:cs="Arial" w:eastAsia="Arial" w:hAnsi="Arial"/>
          <w:sz w:val="22"/>
          <w:szCs w:val="22"/>
        </w:rPr>
        <w:t xml:space="preserve">Las fuentes de datos (SANTO, Agenda Comercial) son gestionadas por una empresa tercera y residen on-premise, lo que limita el acceso y control del equipo interno.</w:t>
      </w:r>
    </w:p>
    <w:p>
      <w:pPr>
        <w:pStyle w:val="ListParagraph"/>
        <w:numPr>
          <w:ilvl w:val="0"/>
          <w:numId w:val="2"/>
        </w:numPr>
        <w:spacing w:after="60"/>
      </w:pPr>
      <w:r>
        <w:rPr>
          <w:rFonts w:ascii="Arial" w:cs="Arial" w:eastAsia="Arial" w:hAnsi="Arial"/>
          <w:sz w:val="22"/>
          <w:szCs w:val="22"/>
        </w:rPr>
        <w:t xml:space="preserve">Los usuarios finales descargan archivos CSV desde SANTO y los procesan manualmente en Excel, construyendo tablas dinámicas y calculando indicadores con fórmulas propias.</w:t>
      </w:r>
    </w:p>
    <w:p>
      <w:pPr>
        <w:pStyle w:val="ListParagraph"/>
        <w:numPr>
          <w:ilvl w:val="0"/>
          <w:numId w:val="2"/>
        </w:numPr>
        <w:spacing w:after="60"/>
      </w:pPr>
      <w:r>
        <w:rPr>
          <w:rFonts w:ascii="Arial" w:cs="Arial" w:eastAsia="Arial" w:hAnsi="Arial"/>
          <w:sz w:val="22"/>
          <w:szCs w:val="22"/>
        </w:rPr>
        <w:t xml:space="preserve">La lógica de negocio (clasificación de registros, jerarquías de ejecutivos, indicadores de hitos, reglas de deduplicación) vive en columnas calculadas de Excel y no está documentada ni versionada.</w:t>
      </w:r>
    </w:p>
    <w:p>
      <w:pPr>
        <w:pStyle w:val="ListParagraph"/>
        <w:numPr>
          <w:ilvl w:val="0"/>
          <w:numId w:val="2"/>
        </w:numPr>
        <w:spacing w:after="60"/>
      </w:pPr>
      <w:r>
        <w:rPr>
          <w:rFonts w:ascii="Arial" w:cs="Arial" w:eastAsia="Arial" w:hAnsi="Arial"/>
          <w:sz w:val="22"/>
          <w:szCs w:val="22"/>
        </w:rPr>
        <w:t xml:space="preserve">Los dashboards de seguimiento (Resumen Certificados, Total Referidos SCP) se alimentan de exportaciones manuales, lo que introduce riesgo de error y limita la frecuencia de actualización.</w:t>
      </w:r>
    </w:p>
    <w:p>
      <w:pPr>
        <w:pStyle w:val="ListParagraph"/>
        <w:numPr>
          <w:ilvl w:val="0"/>
          <w:numId w:val="2"/>
        </w:numPr>
        <w:spacing w:after="60"/>
      </w:pPr>
      <w:r>
        <w:rPr>
          <w:rFonts w:ascii="Arial" w:cs="Arial" w:eastAsia="Arial" w:hAnsi="Arial"/>
          <w:sz w:val="22"/>
          <w:szCs w:val="22"/>
        </w:rPr>
        <w:t xml:space="preserve">No existe una capa de datos centralizada, integrada y gobernada que permita análisis histórico, cruce entre fuentes o escalabilidad.</w:t>
      </w:r>
    </w:p>
    <w:p>
      <w:pPr>
        <w:pStyle w:val="Heading2"/>
        <w:pBdr>
          <w:bottom w:val="single" w:color="E5E7EB" w:sz="4" w:space="4"/>
        </w:pBdr>
        <w:spacing w:after="120" w:before="300"/>
      </w:pPr>
      <w:r>
        <w:rPr>
          <w:rFonts w:ascii="Arial" w:cs="Arial" w:eastAsia="Arial" w:hAnsi="Arial"/>
          <w:b/>
          <w:bCs/>
          <w:color w:val="1F4E79"/>
          <w:sz w:val="28"/>
          <w:szCs w:val="28"/>
        </w:rPr>
        <w:t xml:space="preserve">2.3 Objetivo del proyecto</w:t>
      </w:r>
    </w:p>
    <w:p>
      <w:pPr>
        <w:spacing w:after="120"/>
      </w:pPr>
      <w:r>
        <w:rPr>
          <w:rFonts w:ascii="Arial" w:cs="Arial" w:eastAsia="Arial" w:hAnsi="Arial"/>
          <w:sz w:val="22"/>
          <w:szCs w:val="22"/>
        </w:rPr>
        <w:t xml:space="preserve">Diseñar e implementar una plataforma de datos en la nube (Databricks como motor principal) que:</w:t>
      </w:r>
    </w:p>
    <w:p>
      <w:pPr>
        <w:pStyle w:val="ListParagraph"/>
        <w:numPr>
          <w:ilvl w:val="0"/>
          <w:numId w:val="2"/>
        </w:numPr>
        <w:spacing w:after="60"/>
      </w:pPr>
      <w:r>
        <w:rPr>
          <w:rFonts w:ascii="Arial" w:cs="Arial" w:eastAsia="Arial" w:hAnsi="Arial"/>
          <w:sz w:val="22"/>
          <w:szCs w:val="22"/>
        </w:rPr>
        <w:t xml:space="preserve">Ingiera automáticamente los datos de las fuentes identificadas (SANTO, Agenda Comercial, Referidos).</w:t>
      </w:r>
    </w:p>
    <w:p>
      <w:pPr>
        <w:pStyle w:val="ListParagraph"/>
        <w:numPr>
          <w:ilvl w:val="0"/>
          <w:numId w:val="2"/>
        </w:numPr>
        <w:spacing w:after="60"/>
      </w:pPr>
      <w:r>
        <w:rPr>
          <w:rFonts w:ascii="Arial" w:cs="Arial" w:eastAsia="Arial" w:hAnsi="Arial"/>
          <w:sz w:val="22"/>
          <w:szCs w:val="22"/>
        </w:rPr>
        <w:t xml:space="preserve">Aplique las transformaciones y reglas de negocio actualmente en Excel en pipelines versionados y auditables.</w:t>
      </w:r>
    </w:p>
    <w:p>
      <w:pPr>
        <w:pStyle w:val="ListParagraph"/>
        <w:numPr>
          <w:ilvl w:val="0"/>
          <w:numId w:val="2"/>
        </w:numPr>
        <w:spacing w:after="60"/>
      </w:pPr>
      <w:r>
        <w:rPr>
          <w:rFonts w:ascii="Arial" w:cs="Arial" w:eastAsia="Arial" w:hAnsi="Arial"/>
          <w:sz w:val="22"/>
          <w:szCs w:val="22"/>
        </w:rPr>
        <w:t xml:space="preserve">Exponga capas de datos limpias (Silver) y agregadas (Gold) que soporten los dashboards y análisis actuales.</w:t>
      </w:r>
    </w:p>
    <w:p>
      <w:pPr>
        <w:pStyle w:val="ListParagraph"/>
        <w:numPr>
          <w:ilvl w:val="0"/>
          <w:numId w:val="2"/>
        </w:numPr>
        <w:spacing w:after="60"/>
      </w:pPr>
      <w:r>
        <w:rPr>
          <w:rFonts w:ascii="Arial" w:cs="Arial" w:eastAsia="Arial" w:hAnsi="Arial"/>
          <w:sz w:val="22"/>
          <w:szCs w:val="22"/>
        </w:rPr>
        <w:t xml:space="preserve">Siente las bases de gobernanza de datos (Unity Catalog, diccionario de datos, linaje) requeridas por el banco.</w:t>
      </w:r>
    </w:p>
    <w:p>
      <w:pPr>
        <w:pageBreakBefore/>
      </w:pPr>
      <w:r>
        <w:br/>
        <w:t xml:space="preserve"/>
      </w:r>
    </w:p>
    <w:p>
      <w:pPr>
        <w:pStyle w:val="Heading1"/>
        <w:spacing w:after="160" w:before="400"/>
      </w:pPr>
      <w:r>
        <w:rPr>
          <w:rFonts w:ascii="Arial" w:cs="Arial" w:eastAsia="Arial" w:hAnsi="Arial"/>
          <w:b/>
          <w:bCs/>
          <w:color w:val="EC1C24"/>
          <w:sz w:val="36"/>
          <w:szCs w:val="36"/>
        </w:rPr>
        <w:t xml:space="preserve">3. Alcance del proyecto</w:t>
      </w:r>
    </w:p>
    <w:p>
      <w:pPr>
        <w:pStyle w:val="Heading2"/>
        <w:pBdr>
          <w:bottom w:val="single" w:color="E5E7EB" w:sz="4" w:space="4"/>
        </w:pBdr>
        <w:spacing w:after="120" w:before="300"/>
      </w:pPr>
      <w:r>
        <w:rPr>
          <w:rFonts w:ascii="Arial" w:cs="Arial" w:eastAsia="Arial" w:hAnsi="Arial"/>
          <w:b/>
          <w:bCs/>
          <w:color w:val="1F4E79"/>
          <w:sz w:val="28"/>
          <w:szCs w:val="28"/>
        </w:rPr>
        <w:t xml:space="preserve">3.1 Dentro del alcance (IN-SCOPE)</w:t>
      </w:r>
    </w:p>
    <w:p>
      <w:pPr>
        <w:pStyle w:val="ListParagraph"/>
        <w:numPr>
          <w:ilvl w:val="0"/>
          <w:numId w:val="2"/>
        </w:numPr>
        <w:spacing w:after="60"/>
      </w:pPr>
      <w:r>
        <w:rPr>
          <w:rFonts w:ascii="Arial" w:cs="Arial" w:eastAsia="Arial" w:hAnsi="Arial"/>
          <w:b/>
          <w:bCs/>
          <w:sz w:val="22"/>
          <w:szCs w:val="22"/>
        </w:rPr>
        <w:t xml:space="preserve">Levantamiento de fuentes: </w:t>
      </w:r>
      <w:r>
        <w:rPr>
          <w:rFonts w:ascii="Arial" w:cs="Arial" w:eastAsia="Arial" w:hAnsi="Arial"/>
          <w:sz w:val="22"/>
          <w:szCs w:val="22"/>
        </w:rPr>
        <w:t xml:space="preserve">Inventario completo de tablas, campos y reglas de SANTO (Cotizaciones, Solicitudes, Certificados) y Agenda Comercial (Microsoft Lists).</w:t>
      </w:r>
    </w:p>
    <w:p>
      <w:pPr>
        <w:pStyle w:val="ListParagraph"/>
        <w:numPr>
          <w:ilvl w:val="0"/>
          <w:numId w:val="2"/>
        </w:numPr>
        <w:spacing w:after="60"/>
      </w:pPr>
      <w:r>
        <w:rPr>
          <w:rFonts w:ascii="Arial" w:cs="Arial" w:eastAsia="Arial" w:hAnsi="Arial"/>
          <w:b/>
          <w:bCs/>
          <w:sz w:val="22"/>
          <w:szCs w:val="22"/>
        </w:rPr>
        <w:t xml:space="preserve">Diccionario de datos: </w:t>
      </w:r>
      <w:r>
        <w:rPr>
          <w:rFonts w:ascii="Arial" w:cs="Arial" w:eastAsia="Arial" w:hAnsi="Arial"/>
          <w:sz w:val="22"/>
          <w:szCs w:val="22"/>
        </w:rPr>
        <w:t xml:space="preserve">Documento estructurado con definición funcional, tipo de dato, ejemplo y criticidad de cada campo.</w:t>
      </w:r>
    </w:p>
    <w:p>
      <w:pPr>
        <w:pStyle w:val="ListParagraph"/>
        <w:numPr>
          <w:ilvl w:val="0"/>
          <w:numId w:val="2"/>
        </w:numPr>
        <w:spacing w:after="60"/>
      </w:pPr>
      <w:r>
        <w:rPr>
          <w:rFonts w:ascii="Arial" w:cs="Arial" w:eastAsia="Arial" w:hAnsi="Arial"/>
          <w:b/>
          <w:bCs/>
          <w:sz w:val="22"/>
          <w:szCs w:val="22"/>
        </w:rPr>
        <w:t xml:space="preserve">Documentación de reglas de negocio: </w:t>
      </w:r>
      <w:r>
        <w:rPr>
          <w:rFonts w:ascii="Arial" w:cs="Arial" w:eastAsia="Arial" w:hAnsi="Arial"/>
          <w:sz w:val="22"/>
          <w:szCs w:val="22"/>
        </w:rPr>
        <w:t xml:space="preserve">Traducción a pseudocódigo de toda la lógica actualmente en columnas calculadas de Excel.</w:t>
      </w:r>
    </w:p>
    <w:p>
      <w:pPr>
        <w:pStyle w:val="ListParagraph"/>
        <w:numPr>
          <w:ilvl w:val="0"/>
          <w:numId w:val="2"/>
        </w:numPr>
        <w:spacing w:after="60"/>
      </w:pPr>
      <w:r>
        <w:rPr>
          <w:rFonts w:ascii="Arial" w:cs="Arial" w:eastAsia="Arial" w:hAnsi="Arial"/>
          <w:b/>
          <w:bCs/>
          <w:sz w:val="22"/>
          <w:szCs w:val="22"/>
        </w:rPr>
        <w:t xml:space="preserve">Diseño de arquitectura destino: </w:t>
      </w:r>
      <w:r>
        <w:rPr>
          <w:rFonts w:ascii="Arial" w:cs="Arial" w:eastAsia="Arial" w:hAnsi="Arial"/>
          <w:sz w:val="22"/>
          <w:szCs w:val="22"/>
        </w:rPr>
        <w:t xml:space="preserve">Modelo Medallion (Bronze / Silver / Gold) sobre Databricks para las fuentes identificadas.</w:t>
      </w:r>
    </w:p>
    <w:p>
      <w:pPr>
        <w:pStyle w:val="ListParagraph"/>
        <w:numPr>
          <w:ilvl w:val="0"/>
          <w:numId w:val="2"/>
        </w:numPr>
        <w:spacing w:after="60"/>
      </w:pPr>
      <w:r>
        <w:rPr>
          <w:rFonts w:ascii="Arial" w:cs="Arial" w:eastAsia="Arial" w:hAnsi="Arial"/>
          <w:b/>
          <w:bCs/>
          <w:sz w:val="22"/>
          <w:szCs w:val="22"/>
        </w:rPr>
        <w:t xml:space="preserve">Pipeline de ingesta: </w:t>
      </w:r>
      <w:r>
        <w:rPr>
          <w:rFonts w:ascii="Arial" w:cs="Arial" w:eastAsia="Arial" w:hAnsi="Arial"/>
          <w:sz w:val="22"/>
          <w:szCs w:val="22"/>
        </w:rPr>
        <w:t xml:space="preserve">Extracción automatizada desde las fuentes on-premise hacia la capa Bronze.</w:t>
      </w:r>
    </w:p>
    <w:p>
      <w:pPr>
        <w:pStyle w:val="ListParagraph"/>
        <w:numPr>
          <w:ilvl w:val="0"/>
          <w:numId w:val="2"/>
        </w:numPr>
        <w:spacing w:after="60"/>
      </w:pPr>
      <w:r>
        <w:rPr>
          <w:rFonts w:ascii="Arial" w:cs="Arial" w:eastAsia="Arial" w:hAnsi="Arial"/>
          <w:b/>
          <w:bCs/>
          <w:sz w:val="22"/>
          <w:szCs w:val="22"/>
        </w:rPr>
        <w:t xml:space="preserve">Transformaciones Silver: </w:t>
      </w:r>
      <w:r>
        <w:rPr>
          <w:rFonts w:ascii="Arial" w:cs="Arial" w:eastAsia="Arial" w:hAnsi="Arial"/>
          <w:sz w:val="22"/>
          <w:szCs w:val="22"/>
        </w:rPr>
        <w:t xml:space="preserve">Limpieza, deduplicación, estandarización de fechas, resolución de jerarquías de ejecutivos.</w:t>
      </w:r>
    </w:p>
    <w:p>
      <w:pPr>
        <w:pStyle w:val="ListParagraph"/>
        <w:numPr>
          <w:ilvl w:val="0"/>
          <w:numId w:val="2"/>
        </w:numPr>
        <w:spacing w:after="60"/>
      </w:pPr>
      <w:r>
        <w:rPr>
          <w:rFonts w:ascii="Arial" w:cs="Arial" w:eastAsia="Arial" w:hAnsi="Arial"/>
          <w:b/>
          <w:bCs/>
          <w:sz w:val="22"/>
          <w:szCs w:val="22"/>
        </w:rPr>
        <w:t xml:space="preserve">Capa Gold para dashboards: </w:t>
      </w:r>
      <w:r>
        <w:rPr>
          <w:rFonts w:ascii="Arial" w:cs="Arial" w:eastAsia="Arial" w:hAnsi="Arial"/>
          <w:sz w:val="22"/>
          <w:szCs w:val="22"/>
        </w:rPr>
        <w:t xml:space="preserve">Tablas agregadas que soporten los reportes Resumen Certificados y Total Referidos SCP.</w:t>
      </w:r>
    </w:p>
    <w:p>
      <w:pPr>
        <w:pStyle w:val="ListParagraph"/>
        <w:numPr>
          <w:ilvl w:val="0"/>
          <w:numId w:val="2"/>
        </w:numPr>
        <w:spacing w:after="60"/>
      </w:pPr>
      <w:r>
        <w:rPr>
          <w:rFonts w:ascii="Arial" w:cs="Arial" w:eastAsia="Arial" w:hAnsi="Arial"/>
          <w:b/>
          <w:bCs/>
          <w:sz w:val="22"/>
          <w:szCs w:val="22"/>
        </w:rPr>
        <w:t xml:space="preserve">Registro en Unity Catalog: </w:t>
      </w:r>
      <w:r>
        <w:rPr>
          <w:rFonts w:ascii="Arial" w:cs="Arial" w:eastAsia="Arial" w:hAnsi="Arial"/>
          <w:sz w:val="22"/>
          <w:szCs w:val="22"/>
        </w:rPr>
        <w:t xml:space="preserve">Gobernanza de tablas, permisos y linaje en Databricks.</w:t>
      </w:r>
    </w:p>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3.2 Fuera del alcance (OUT-OF-SCOPE)</w:t>
      </w:r>
    </w:p>
    <w:p>
      <w:pPr>
        <w:pStyle w:val="ListParagraph"/>
        <w:numPr>
          <w:ilvl w:val="0"/>
          <w:numId w:val="2"/>
        </w:numPr>
        <w:spacing w:after="60"/>
      </w:pPr>
      <w:r>
        <w:rPr>
          <w:rFonts w:ascii="Arial" w:cs="Arial" w:eastAsia="Arial" w:hAnsi="Arial"/>
          <w:b/>
          <w:bCs/>
          <w:sz w:val="22"/>
          <w:szCs w:val="22"/>
        </w:rPr>
        <w:t xml:space="preserve">Migración de datos históricos anteriores a 2024: </w:t>
      </w:r>
      <w:r>
        <w:rPr>
          <w:rFonts w:ascii="Arial" w:cs="Arial" w:eastAsia="Arial" w:hAnsi="Arial"/>
          <w:sz w:val="22"/>
          <w:szCs w:val="22"/>
        </w:rPr>
        <w:t xml:space="preserve">Solo se migra data activa y del periodo vigente en primera fase.</w:t>
      </w:r>
    </w:p>
    <w:p>
      <w:pPr>
        <w:pStyle w:val="ListParagraph"/>
        <w:numPr>
          <w:ilvl w:val="0"/>
          <w:numId w:val="2"/>
        </w:numPr>
        <w:spacing w:after="60"/>
      </w:pPr>
      <w:r>
        <w:rPr>
          <w:rFonts w:ascii="Arial" w:cs="Arial" w:eastAsia="Arial" w:hAnsi="Arial"/>
          <w:b/>
          <w:bCs/>
          <w:sz w:val="22"/>
          <w:szCs w:val="22"/>
        </w:rPr>
        <w:t xml:space="preserve">Modificación de sistemas fuente: </w:t>
      </w:r>
      <w:r>
        <w:rPr>
          <w:rFonts w:ascii="Arial" w:cs="Arial" w:eastAsia="Arial" w:hAnsi="Arial"/>
          <w:sz w:val="22"/>
          <w:szCs w:val="22"/>
        </w:rPr>
        <w:t xml:space="preserve">SANTO y la infraestructura Softek no se alteran; solo se consume lo que exponen.</w:t>
      </w:r>
    </w:p>
    <w:p>
      <w:pPr>
        <w:pStyle w:val="ListParagraph"/>
        <w:numPr>
          <w:ilvl w:val="0"/>
          <w:numId w:val="2"/>
        </w:numPr>
        <w:spacing w:after="60"/>
      </w:pPr>
      <w:r>
        <w:rPr>
          <w:rFonts w:ascii="Arial" w:cs="Arial" w:eastAsia="Arial" w:hAnsi="Arial"/>
          <w:b/>
          <w:bCs/>
          <w:sz w:val="22"/>
          <w:szCs w:val="22"/>
        </w:rPr>
        <w:t xml:space="preserve">Desarrollo de nuevos dashboards: </w:t>
      </w:r>
      <w:r>
        <w:rPr>
          <w:rFonts w:ascii="Arial" w:cs="Arial" w:eastAsia="Arial" w:hAnsi="Arial"/>
          <w:sz w:val="22"/>
          <w:szCs w:val="22"/>
        </w:rPr>
        <w:t xml:space="preserve">Se replican los existentes; nuevas vistas son un proyecto posterior.</w:t>
      </w:r>
    </w:p>
    <w:p>
      <w:pPr>
        <w:pStyle w:val="ListParagraph"/>
        <w:numPr>
          <w:ilvl w:val="0"/>
          <w:numId w:val="2"/>
        </w:numPr>
        <w:spacing w:after="60"/>
      </w:pPr>
      <w:r>
        <w:rPr>
          <w:rFonts w:ascii="Arial" w:cs="Arial" w:eastAsia="Arial" w:hAnsi="Arial"/>
          <w:b/>
          <w:bCs/>
          <w:sz w:val="22"/>
          <w:szCs w:val="22"/>
        </w:rPr>
        <w:t xml:space="preserve">Integración con Cosmos DB / AWS: </w:t>
      </w:r>
      <w:r>
        <w:rPr>
          <w:rFonts w:ascii="Arial" w:cs="Arial" w:eastAsia="Arial" w:hAnsi="Arial"/>
          <w:sz w:val="22"/>
          <w:szCs w:val="22"/>
        </w:rPr>
        <w:t xml:space="preserve">Se evalúa en fase 2; fuera del alcance inicial.</w:t>
      </w:r>
    </w:p>
    <w:p>
      <w:pPr>
        <w:pStyle w:val="ListParagraph"/>
        <w:numPr>
          <w:ilvl w:val="0"/>
          <w:numId w:val="2"/>
        </w:numPr>
        <w:spacing w:after="60"/>
      </w:pPr>
      <w:r>
        <w:rPr>
          <w:rFonts w:ascii="Arial" w:cs="Arial" w:eastAsia="Arial" w:hAnsi="Arial"/>
          <w:b/>
          <w:bCs/>
          <w:sz w:val="22"/>
          <w:szCs w:val="22"/>
        </w:rPr>
        <w:t xml:space="preserve">Gestión de referidos (REFERIDOS): </w:t>
      </w:r>
      <w:r>
        <w:rPr>
          <w:rFonts w:ascii="Arial" w:cs="Arial" w:eastAsia="Arial" w:hAnsi="Arial"/>
          <w:sz w:val="22"/>
          <w:szCs w:val="22"/>
        </w:rPr>
        <w:t xml:space="preserve">Identificado pero pendiente de sesión de levantamiento; se incorpora en fase 2.</w:t>
      </w:r>
    </w:p>
    <w:p>
      <w:pPr>
        <w:pStyle w:val="ListParagraph"/>
        <w:numPr>
          <w:ilvl w:val="0"/>
          <w:numId w:val="2"/>
        </w:numPr>
        <w:spacing w:after="60"/>
      </w:pPr>
      <w:r>
        <w:rPr>
          <w:rFonts w:ascii="Arial" w:cs="Arial" w:eastAsia="Arial" w:hAnsi="Arial"/>
          <w:b/>
          <w:bCs/>
          <w:sz w:val="22"/>
          <w:szCs w:val="22"/>
        </w:rPr>
        <w:t xml:space="preserve">Datos de otras áreas del banco: </w:t>
      </w:r>
      <w:r>
        <w:rPr>
          <w:rFonts w:ascii="Arial" w:cs="Arial" w:eastAsia="Arial" w:hAnsi="Arial"/>
          <w:sz w:val="22"/>
          <w:szCs w:val="22"/>
        </w:rPr>
        <w:t xml:space="preserve">Solo Fondos Colectivos SCP.</w:t>
      </w:r>
    </w:p>
    <w:p>
      <w:pPr>
        <w:pageBreakBefore/>
      </w:pPr>
      <w:r>
        <w:br/>
        <w:t xml:space="preserve"/>
      </w:r>
    </w:p>
    <w:p>
      <w:pPr>
        <w:pStyle w:val="Heading1"/>
        <w:spacing w:after="160" w:before="400"/>
      </w:pPr>
      <w:r>
        <w:rPr>
          <w:rFonts w:ascii="Arial" w:cs="Arial" w:eastAsia="Arial" w:hAnsi="Arial"/>
          <w:b/>
          <w:bCs/>
          <w:color w:val="EC1C24"/>
          <w:sz w:val="36"/>
          <w:szCs w:val="36"/>
        </w:rPr>
        <w:t xml:space="preserve">4. Motores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C1C24" w:val="clear"/>
            <w:tcMar>
              <w:top w:type="dxa" w:w="80"/>
              <w:left w:type="dxa" w:w="150"/>
              <w:bottom w:type="dxa" w:w="80"/>
              <w:right w:type="dxa" w:w="150"/>
            </w:tcMar>
          </w:tcPr>
          <w:p>
            <w:pPr>
              <w:jc w:val="center"/>
            </w:pPr>
            <w:r>
              <w:rPr>
                <w:rFonts w:ascii="Arial" w:cs="Arial" w:eastAsia="Arial" w:hAnsi="Arial"/>
                <w:b/>
                <w:bCs/>
                <w:sz w:val="20"/>
                <w:szCs w:val="20"/>
              </w:rPr>
              <w:t xml:space="preserve">Driver</w:t>
            </w:r>
          </w:p>
        </w:tc>
        <w:tc>
          <w:tcPr>
            <w:tcW w:type="dxa" w:w="7160"/>
            <w:tcBorders>
              <w:top w:val="single" w:color="AAAAAA" w:sz="1"/>
              <w:left w:val="single" w:color="AAAAAA" w:sz="1"/>
              <w:bottom w:val="single" w:color="AAAAAA" w:sz="1"/>
              <w:right w:val="single" w:color="AAAAAA" w:sz="1"/>
            </w:tcBorders>
            <w:shd w:fill="EC1C24" w:val="clear"/>
            <w:tcMar>
              <w:top w:type="dxa" w:w="80"/>
              <w:left w:type="dxa" w:w="150"/>
              <w:bottom w:type="dxa" w:w="80"/>
              <w:right w:type="dxa" w:w="150"/>
            </w:tcMar>
          </w:tcPr>
          <w:p>
            <w:pPr>
              <w:jc w:val="center"/>
            </w:pPr>
            <w:r>
              <w:rPr>
                <w:rFonts w:ascii="Arial" w:cs="Arial" w:eastAsia="Arial" w:hAnsi="Arial"/>
                <w:b/>
                <w:bCs/>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Acceso y control de datos</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Las fuentes actuales son gestionadas por un tercero (Softek) y residen on-premise. El banco requiere soberanía sobre sus datos en una plataforma propia y gobernada.</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Eficiencia operativa</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El proceso manual de descarga de CSV y cálculo en Excel consume tiempo de los equipos comerciales y de TI, e introduce errores. La automatización libera ese tiempo para análisis de valor.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Escalabilidad</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El volumen de certificados activos crece mensualmente. Excel no es escalable como plataforma de análisis; se necesita una capa de datos que soporte el crecimiento.</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Calidad de datos</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Las reglas de negocio en Excel no están documentadas ni versionadas. Existe riesgo de inconsistencias entre reportes. Una capa Silver centralizada garantiza una única fuente de verdad.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Cumplimiento y gobernanza</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Los estándares internos del banco (y potencialmente regulatorios) exigen trazabilidad, linaje y control de acceso a los datos. Unity Catalog en Databricks satisface este requerimiento.</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Habilitación analítica</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Una plataforma de datos moderna permite incorporar en el futuro modelos predictivos (propensión de pago, riesgo de retiro) que hoy no son posibles con la infraestructura actual.</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5. Proceso actual (As-Is)</w:t>
      </w:r>
    </w:p>
    <w:p>
      <w:pPr>
        <w:pStyle w:val="Heading2"/>
        <w:pBdr>
          <w:bottom w:val="single" w:color="E5E7EB" w:sz="4" w:space="4"/>
        </w:pBdr>
        <w:spacing w:after="120" w:before="300"/>
      </w:pPr>
      <w:r>
        <w:rPr>
          <w:rFonts w:ascii="Arial" w:cs="Arial" w:eastAsia="Arial" w:hAnsi="Arial"/>
          <w:b/>
          <w:bCs/>
          <w:color w:val="1F4E79"/>
          <w:sz w:val="28"/>
          <w:szCs w:val="28"/>
        </w:rPr>
        <w:t xml:space="preserve">5.1 Mapa de fuentes de datos</w:t>
      </w:r>
    </w:p>
    <w:p>
      <w:pPr>
        <w:spacing w:after="120"/>
      </w:pPr>
      <w:r>
        <w:rPr>
          <w:rFonts w:ascii="Arial" w:cs="Arial" w:eastAsia="Arial" w:hAnsi="Arial"/>
          <w:sz w:val="22"/>
          <w:szCs w:val="22"/>
        </w:rPr>
        <w:t xml:space="preserve">El área de Fondos Colectivos opera con dos sistemas principales como fuentes de datos: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c>
          <w:tcPr>
            <w:tcW w:type="dxa" w:w="1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Sistema</w:t>
            </w:r>
          </w:p>
        </w:tc>
        <w:tc>
          <w:tcPr>
            <w:tcW w:type="dxa" w:w="20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Tecnología</w:t>
            </w:r>
          </w:p>
        </w:tc>
        <w:tc>
          <w:tcPr>
            <w:tcW w:type="dxa" w:w="1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Tablas / Módulos</w:t>
            </w:r>
          </w:p>
        </w:tc>
        <w:tc>
          <w:tcPr>
            <w:tcW w:type="dxa" w:w="1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Extracción actual</w:t>
            </w:r>
          </w:p>
        </w:tc>
        <w:tc>
          <w:tcPr>
            <w:tcW w:type="dxa" w:w="19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Propietario</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SANTO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Softek (on-premise)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Cotizaciones, Solicitudes, Certificados, BD_REFERIDOS2, TD, TD_CERT, Ejecutivos, GUIA_CAMP, STATUS</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Descarga manual CSV</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Tercero (Softek)</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Agenda Comercial</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Microsoft Lists (SharePoint Online)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Formulario de prospectos / CRM</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Exportación manual CSV filtrado por FRENTE</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Banco SCP (TI)</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5.2 Flujo de datos actual</w:t>
      </w:r>
    </w:p>
    <w:p>
      <w:pPr>
        <w:spacing w:after="120"/>
      </w:pPr>
      <w:r>
        <w:rPr>
          <w:rFonts w:ascii="Arial" w:cs="Arial" w:eastAsia="Arial" w:hAnsi="Arial"/>
          <w:sz w:val="22"/>
          <w:szCs w:val="22"/>
        </w:rPr>
        <w:t xml:space="preserve">El proceso de consumo de datos sigue este flujo manual:</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w:t>
            </w:r>
          </w:p>
        </w:tc>
        <w:tc>
          <w:tcPr>
            <w:tcW w:type="dxa" w:w="2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Paso</w:t>
            </w:r>
          </w:p>
        </w:tc>
        <w:tc>
          <w:tcPr>
            <w:tcW w:type="dxa" w:w="668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Extracción manual</w:t>
            </w:r>
          </w:p>
        </w:tc>
        <w:tc>
          <w:tcPr>
            <w:tcW w:type="dxa" w:w="6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El usuario accede a SANTO y descarga archivos CSV para cada tabla (Cotizaciones, Solicitudes, Certificados) bajo demanda, sin periodicidad definida.</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Procesamiento en Excel</w:t>
            </w:r>
          </w:p>
        </w:tc>
        <w:tc>
          <w:tcPr>
            <w:tcW w:type="dxa" w:w="6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Los CSV se abren en Excel. El usuario aplica columnas calculadas con fórmulas para clasificar registros (TIPO REAL/PRUEBA), detectar duplicados (FILTRO, SE REPITE?), descomponer fechas (AÑO, MES, DIA, PERIODO), resolver jerarquías de ejecutivos (USUARIO → JEFATURA → COACH) y calcular hitos del proceso (PRE REGISTRO, REGISTRO, EVALUADA, APROBADA...).</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Tablas dinámicas</w:t>
            </w:r>
          </w:p>
        </w:tc>
        <w:tc>
          <w:tcPr>
            <w:tcW w:type="dxa" w:w="6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 los datos procesados se construyen tablas dinámicas manuales para los reportes de gestión: Resumen Certificados, ventas por canal/equipo, etc.</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Dashboard Referidos</w:t>
            </w:r>
          </w:p>
        </w:tc>
        <w:tc>
          <w:tcPr>
            <w:tcW w:type="dxa" w:w="6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Desde Agenda Comercial se exporta la lista filtrada por FRENTE = "REFERIDO SCP". Con estos datos se alimenta manualmente el dashboard "Total Referidos SCP" que muestra métricas de contactabilidad y gestión.</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Actualización ad-hoc</w:t>
            </w:r>
          </w:p>
        </w:tc>
        <w:tc>
          <w:tcPr>
            <w:tcW w:type="dxa" w:w="6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No existe automatización. Los reportes se actualizan cuando el usuario lo decide, lo que puede generar versiones desactualizadas o inconsistentes entre áreas.</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6. Inventario de sistemas y tablas</w:t>
      </w:r>
    </w:p>
    <w:p>
      <w:pPr>
        <w:pStyle w:val="Heading2"/>
        <w:pBdr>
          <w:bottom w:val="single" w:color="E5E7EB" w:sz="4" w:space="4"/>
        </w:pBdr>
        <w:spacing w:after="120" w:before="300"/>
      </w:pPr>
      <w:r>
        <w:rPr>
          <w:rFonts w:ascii="Arial" w:cs="Arial" w:eastAsia="Arial" w:hAnsi="Arial"/>
          <w:b/>
          <w:bCs/>
          <w:color w:val="1F4E79"/>
          <w:sz w:val="28"/>
          <w:szCs w:val="28"/>
        </w:rPr>
        <w:t xml:space="preserve">6.1 SANTO — Sistema Fondos Colectivos Softek</w:t>
      </w:r>
    </w:p>
    <w:p>
      <w:pPr>
        <w:spacing w:after="120"/>
      </w:pPr>
      <w:r>
        <w:rPr>
          <w:rFonts w:ascii="Arial" w:cs="Arial" w:eastAsia="Arial" w:hAnsi="Arial"/>
          <w:sz w:val="22"/>
          <w:szCs w:val="22"/>
        </w:rPr>
        <w:t xml:space="preserve">SANTO es el sistema core de Fondos Colectivos, administrado por la empresa tercera Softek. Los usuarios acceden a él para registrar y consultar el ciclo de vida completo de los contratos. Las tablas de interés para el proyecto son: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Tabla</w:t>
            </w:r>
          </w:p>
        </w:tc>
        <w:tc>
          <w:tcPr>
            <w:tcW w:type="dxa" w:w="1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Campos fuente</w:t>
            </w:r>
          </w:p>
        </w:tc>
        <w:tc>
          <w:tcPr>
            <w:tcW w:type="dxa" w:w="1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Campos calculados</w:t>
            </w:r>
          </w:p>
        </w:tc>
        <w:tc>
          <w:tcPr>
            <w:tcW w:type="dxa" w:w="47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Cotizaciones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Registro de cada cotización generada para un prospecto. Contiene datos del prospecto (documento, nombre, celular, correo), canal de venta, punto de venta, estado y fecha.</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Solicitudes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30</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Registro de la solicitud formal de crédito. Contiene el estado detallado del flujo de aprobación (38 estados identificados), datos del solicitante, programa y grupo, y flags de hitos del proceso.</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Certificados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33</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35</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Contrato activo de fondo colectivo. Es la tabla más completa: incluye datos del contrato, estado, montos, canal, ejecutivo, fechas, adjudicación, retiro y comisiones.</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BD_REFERIDOS2</w:t>
            </w:r>
          </w:p>
        </w:tc>
        <w:tc>
          <w:tcPr>
            <w:tcW w:type="dxa" w:w="1200"/>
            <w:tcBorders>
              <w:top w:val="single" w:color="CCCCCC" w:sz="1"/>
              <w:left w:val="single" w:color="CCCCCC" w:sz="1"/>
              <w:bottom w:val="single" w:color="CCCCCC" w:sz="1"/>
              <w:right w:val="single" w:color="CCCCCC" w:sz="1"/>
            </w:tcBorders>
            <w:shd w:fill="FFFBEB" w:val="clear"/>
            <w:tcMar>
              <w:top w:type="dxa" w:w="80"/>
              <w:left w:type="dxa" w:w="150"/>
              <w:bottom w:type="dxa" w:w="80"/>
              <w:right w:type="dxa" w:w="150"/>
            </w:tcMar>
          </w:tcPr>
          <w:p>
            <w:r>
              <w:rPr>
                <w:rFonts w:ascii="Arial" w:cs="Arial" w:eastAsia="Arial" w:hAnsi="Arial"/>
                <w:sz w:val="20"/>
                <w:szCs w:val="20"/>
              </w:rPr>
              <w:t xml:space="preserve">Por levantar</w:t>
            </w:r>
          </w:p>
        </w:tc>
        <w:tc>
          <w:tcPr>
            <w:tcW w:type="dxa" w:w="1200"/>
            <w:tcBorders>
              <w:top w:val="single" w:color="CCCCCC" w:sz="1"/>
              <w:left w:val="single" w:color="CCCCCC" w:sz="1"/>
              <w:bottom w:val="single" w:color="CCCCCC" w:sz="1"/>
              <w:right w:val="single" w:color="CCCCCC" w:sz="1"/>
            </w:tcBorders>
            <w:shd w:fill="FFFBEB" w:val="clear"/>
            <w:tcMar>
              <w:top w:type="dxa" w:w="80"/>
              <w:left w:type="dxa" w:w="150"/>
              <w:bottom w:type="dxa" w:w="80"/>
              <w:right w:type="dxa" w:w="150"/>
            </w:tcMar>
          </w:tcPr>
          <w:p>
            <w:r>
              <w:rPr>
                <w:rFonts w:ascii="Arial" w:cs="Arial" w:eastAsia="Arial" w:hAnsi="Arial"/>
                <w:sz w:val="20"/>
                <w:szCs w:val="20"/>
              </w:rPr>
              <w:t xml:space="preserve">Por levantar</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Base de datos de referidos. Pendiente de sesión de levantamiento.</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TD / TD_CERT</w:t>
            </w:r>
          </w:p>
        </w:tc>
        <w:tc>
          <w:tcPr>
            <w:tcW w:type="dxa" w:w="1200"/>
            <w:tcBorders>
              <w:top w:val="single" w:color="CCCCCC" w:sz="1"/>
              <w:left w:val="single" w:color="CCCCCC" w:sz="1"/>
              <w:bottom w:val="single" w:color="CCCCCC" w:sz="1"/>
              <w:right w:val="single" w:color="CCCCCC" w:sz="1"/>
            </w:tcBorders>
            <w:shd w:fill="FFFBEB" w:val="clear"/>
            <w:tcMar>
              <w:top w:type="dxa" w:w="80"/>
              <w:left w:type="dxa" w:w="150"/>
              <w:bottom w:type="dxa" w:w="80"/>
              <w:right w:type="dxa" w:w="150"/>
            </w:tcMar>
          </w:tcPr>
          <w:p>
            <w:r>
              <w:rPr>
                <w:rFonts w:ascii="Arial" w:cs="Arial" w:eastAsia="Arial" w:hAnsi="Arial"/>
                <w:sz w:val="20"/>
                <w:szCs w:val="20"/>
              </w:rPr>
              <w:t xml:space="preserve">Por levantar</w:t>
            </w:r>
          </w:p>
        </w:tc>
        <w:tc>
          <w:tcPr>
            <w:tcW w:type="dxa" w:w="1200"/>
            <w:tcBorders>
              <w:top w:val="single" w:color="CCCCCC" w:sz="1"/>
              <w:left w:val="single" w:color="CCCCCC" w:sz="1"/>
              <w:bottom w:val="single" w:color="CCCCCC" w:sz="1"/>
              <w:right w:val="single" w:color="CCCCCC" w:sz="1"/>
            </w:tcBorders>
            <w:shd w:fill="FFFBEB" w:val="clear"/>
            <w:tcMar>
              <w:top w:type="dxa" w:w="80"/>
              <w:left w:type="dxa" w:w="150"/>
              <w:bottom w:type="dxa" w:w="80"/>
              <w:right w:type="dxa" w:w="150"/>
            </w:tcMar>
          </w:tcPr>
          <w:p>
            <w:r>
              <w:rPr>
                <w:rFonts w:ascii="Arial" w:cs="Arial" w:eastAsia="Arial" w:hAnsi="Arial"/>
                <w:sz w:val="20"/>
                <w:szCs w:val="20"/>
              </w:rPr>
              <w:t xml:space="preserve">Por levantar</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Tablas de tipo de dato o categorías del sistema. Pendiente de levantar.</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Ejecutivos</w:t>
            </w:r>
          </w:p>
        </w:tc>
        <w:tc>
          <w:tcPr>
            <w:tcW w:type="dxa" w:w="1200"/>
            <w:tcBorders>
              <w:top w:val="single" w:color="CCCCCC" w:sz="1"/>
              <w:left w:val="single" w:color="CCCCCC" w:sz="1"/>
              <w:bottom w:val="single" w:color="CCCCCC" w:sz="1"/>
              <w:right w:val="single" w:color="CCCCCC" w:sz="1"/>
            </w:tcBorders>
            <w:shd w:fill="FFFBEB" w:val="clear"/>
            <w:tcMar>
              <w:top w:type="dxa" w:w="80"/>
              <w:left w:type="dxa" w:w="150"/>
              <w:bottom w:type="dxa" w:w="80"/>
              <w:right w:type="dxa" w:w="150"/>
            </w:tcMar>
          </w:tcPr>
          <w:p>
            <w:r>
              <w:rPr>
                <w:rFonts w:ascii="Arial" w:cs="Arial" w:eastAsia="Arial" w:hAnsi="Arial"/>
                <w:sz w:val="20"/>
                <w:szCs w:val="20"/>
              </w:rPr>
              <w:t xml:space="preserve">Por levantar</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Tabla maestra de ejecutivos y jerarquías organizacionales. Es la dimensión central usada para resolver USUARIO → JEFATURA → COACH.</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GUIA_CAMP</w:t>
            </w:r>
          </w:p>
        </w:tc>
        <w:tc>
          <w:tcPr>
            <w:tcW w:type="dxa" w:w="1200"/>
            <w:tcBorders>
              <w:top w:val="single" w:color="CCCCCC" w:sz="1"/>
              <w:left w:val="single" w:color="CCCCCC" w:sz="1"/>
              <w:bottom w:val="single" w:color="CCCCCC" w:sz="1"/>
              <w:right w:val="single" w:color="CCCCCC" w:sz="1"/>
            </w:tcBorders>
            <w:shd w:fill="FFFBEB" w:val="clear"/>
            <w:tcMar>
              <w:top w:type="dxa" w:w="80"/>
              <w:left w:type="dxa" w:w="150"/>
              <w:bottom w:type="dxa" w:w="80"/>
              <w:right w:type="dxa" w:w="150"/>
            </w:tcMar>
          </w:tcPr>
          <w:p>
            <w:r>
              <w:rPr>
                <w:rFonts w:ascii="Arial" w:cs="Arial" w:eastAsia="Arial" w:hAnsi="Arial"/>
                <w:sz w:val="20"/>
                <w:szCs w:val="20"/>
              </w:rPr>
              <w:t xml:space="preserve">Por levantar</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Guía de campañas activas. Usada para calcular % CIA y Campaña CIA 0%.</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shd w:fill="FFFBEB" w:val="clear"/>
            <w:tcMar>
              <w:top w:type="dxa" w:w="80"/>
              <w:left w:type="dxa" w:w="150"/>
              <w:bottom w:type="dxa" w:w="80"/>
              <w:right w:type="dxa" w:w="150"/>
            </w:tcMar>
          </w:tcPr>
          <w:p>
            <w:r>
              <w:rPr>
                <w:rFonts w:ascii="Arial" w:cs="Arial" w:eastAsia="Arial" w:hAnsi="Arial"/>
                <w:sz w:val="20"/>
                <w:szCs w:val="20"/>
              </w:rPr>
              <w:t xml:space="preserve">Por levantar</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Tabla de estados del sistema.</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Nota sobre campos calculados</w:t>
            </w:r>
          </w:p>
          <w:p>
            <w:pPr>
              <w:spacing w:after="60"/>
            </w:pPr>
            <w:r>
              <w:rPr>
                <w:rFonts w:ascii="Arial" w:cs="Arial" w:eastAsia="Arial" w:hAnsi="Arial"/>
                <w:sz w:val="22"/>
                <w:szCs w:val="22"/>
              </w:rPr>
              <w:t xml:space="preserve">Los campos calculados no provienen del sistema fuente (SANTO), sino que son lógicas aplicadas por el equipo en Excel.</w:t>
            </w:r>
          </w:p>
          <w:p>
            <w:pPr>
              <w:spacing w:after="60"/>
            </w:pPr>
            <w:r>
              <w:rPr>
                <w:rFonts w:ascii="Arial" w:cs="Arial" w:eastAsia="Arial" w:hAnsi="Arial"/>
                <w:sz w:val="22"/>
                <w:szCs w:val="22"/>
              </w:rPr>
              <w:t xml:space="preserve">En la plataforma destino (Databricks), estas lógicas se implementarán como transformaciones en la capa Silver o Gold.</w:t>
            </w:r>
          </w:p>
          <w:p>
            <w:pPr>
              <w:spacing w:after="60"/>
            </w:pPr>
            <w:r>
              <w:rPr>
                <w:rFonts w:ascii="Arial" w:cs="Arial" w:eastAsia="Arial" w:hAnsi="Arial"/>
                <w:sz w:val="22"/>
                <w:szCs w:val="22"/>
              </w:rPr>
              <w:t xml:space="preserve">El diccionario completo de campos (fuente + calculados) está documentado en el archivo:</w:t>
            </w:r>
          </w:p>
          <w:p>
            <w:pPr>
              <w:spacing w:after="60"/>
            </w:pPr>
            <w:r>
              <w:rPr>
                <w:rFonts w:ascii="Arial" w:cs="Arial" w:eastAsia="Arial" w:hAnsi="Arial"/>
                <w:sz w:val="22"/>
                <w:szCs w:val="22"/>
              </w:rPr>
              <w:t xml:space="preserve">Diccionario_Campos_SANTO_Fondos_Colectivos.xlsx</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6.2 Agenda Comercial — Microsoft Lists</w:t>
      </w:r>
    </w:p>
    <w:p>
      <w:pPr>
        <w:spacing w:after="120"/>
      </w:pPr>
      <w:r>
        <w:rPr>
          <w:rFonts w:ascii="Arial" w:cs="Arial" w:eastAsia="Arial" w:hAnsi="Arial"/>
          <w:sz w:val="22"/>
          <w:szCs w:val="22"/>
        </w:rPr>
        <w:t xml:space="preserve">La Agenda Comercial es un formulario en Microsoft Lists (SharePoint) que funciona como CRM del equipo comercial. Registra prospectos, su gestión comercial y el resultado de cada contacto.</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Atributo</w:t>
            </w:r>
          </w:p>
        </w:tc>
        <w:tc>
          <w:tcPr>
            <w:tcW w:type="dxa" w:w="67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Plataforma</w:t>
            </w:r>
          </w:p>
        </w:tc>
        <w:tc>
          <w:tcPr>
            <w:tcW w:type="dxa" w:w="6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Microsoft Lists sobre SharePoint Online (santandernet.sharepoint.com)</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Lista</w:t>
            </w:r>
          </w:p>
        </w:tc>
        <w:tc>
          <w:tcPr>
            <w:tcW w:type="dxa" w:w="6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Portal_Interno_SFC / Cluster-Agenda Comercial</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Registros actuales</w:t>
            </w:r>
          </w:p>
        </w:tc>
        <w:tc>
          <w:tcPr>
            <w:tcW w:type="dxa" w:w="6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~2,891 registros (solo FRENTE = REFERIDO SCP)</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Campo clave (filtro)</w:t>
            </w:r>
          </w:p>
        </w:tc>
        <w:tc>
          <w:tcPr>
            <w:tcW w:type="dxa" w:w="6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FRENTE: lista controlada con valores vacío, BD ASTARA, BD ASTARA SURCO, BD AUTOLAND, CARTERA PROPIA, PILOTO AUTOLAND, REFERIDO SCP</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Vistas disponibles</w:t>
            </w:r>
          </w:p>
        </w:tc>
        <w:tc>
          <w:tcPr>
            <w:tcW w:type="dxa" w:w="6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Vista Ejecutivo Comercial, Vista Jefe SCP, Vista Soporte TI, Vista Total</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Campos principales</w:t>
            </w:r>
          </w:p>
        </w:tc>
        <w:tc>
          <w:tcPr>
            <w:tcW w:type="dxa" w:w="6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Fecha Registro, Nombre Prospecto, Tipo/Nro. Doc. Identidad, Celular, Mail, Estado Civil, Ingreso Mensual, Categoría Renta, VISOR-Resultado, Status Operación, Fecha Gestión, Intentos Contacto, INTERES COMPRA (FRIO/TIBIO/DESISTE), Ejecutivo SFC Gestión</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7. Indicadores y dashboards actuales</w:t>
      </w:r>
    </w:p>
    <w:p>
      <w:pPr>
        <w:pStyle w:val="Heading2"/>
        <w:pBdr>
          <w:bottom w:val="single" w:color="E5E7EB" w:sz="4" w:space="4"/>
        </w:pBdr>
        <w:spacing w:after="120" w:before="300"/>
      </w:pPr>
      <w:r>
        <w:rPr>
          <w:rFonts w:ascii="Arial" w:cs="Arial" w:eastAsia="Arial" w:hAnsi="Arial"/>
          <w:b/>
          <w:bCs/>
          <w:color w:val="1F4E79"/>
          <w:sz w:val="28"/>
          <w:szCs w:val="28"/>
        </w:rPr>
        <w:t xml:space="preserve">7.1 Dashboard: Resumen Certificados</w:t>
      </w:r>
    </w:p>
    <w:p>
      <w:pPr>
        <w:spacing w:after="120"/>
      </w:pPr>
      <w:r>
        <w:rPr>
          <w:rFonts w:ascii="Arial" w:cs="Arial" w:eastAsia="Arial" w:hAnsi="Arial"/>
          <w:sz w:val="22"/>
          <w:szCs w:val="22"/>
        </w:rPr>
        <w:t xml:space="preserve">Dashboard de seguimiento de ventas de certificados activos, actualizado al 08/02/2026.</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Indicador</w:t>
            </w:r>
          </w:p>
        </w:tc>
        <w:tc>
          <w:tcPr>
            <w:tcW w:type="dxa" w:w="20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Valor (Feb 2026)</w:t>
            </w:r>
          </w:p>
        </w:tc>
        <w:tc>
          <w:tcPr>
            <w:tcW w:type="dxa" w:w="45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 / Lógica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Total Ventas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458</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Número de certificados contratados en el periodo acumulado (Mar 2024–Feb 2026). Incluye todos los estados.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Total Certificados Activos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402</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Certificados con Estado Actual = Activo. Excluye retirados y resueltos.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Total Retiro a solicitud Asociado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39</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Certificados con Modalidad Resolución = "Retiro a solicitud".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Total Resolución por Deuda</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17</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Certificados con Modalidad Resolución = "Resuelto con Devolución" por mora.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Venta del día (SCP)</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Certificados nuevos contratados en el día de corte, canal SCP.</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Venta del día (Digital)</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Certificados nuevos contratados en el día de corte, canal Digital.</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Certificados activos por equipo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CLUSTER: 15 / CANAL DIGITAL: 13</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Desglose de certificados activos por equipo de venta.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Certificados activos por tipo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SCP_CLUSTER_DIRECTO: 10 / SCP_REFERIDOS: 5 / DIG_DIRECTO: 13</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Desglose por tipo de venta (directo vs referido, SCP vs digital).</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7.2 Dashboard: Total Referidos SCP</w:t>
      </w:r>
    </w:p>
    <w:p>
      <w:pPr>
        <w:spacing w:after="120"/>
      </w:pPr>
      <w:r>
        <w:rPr>
          <w:rFonts w:ascii="Arial" w:cs="Arial" w:eastAsia="Arial" w:hAnsi="Arial"/>
          <w:sz w:val="22"/>
          <w:szCs w:val="22"/>
        </w:rPr>
        <w:t xml:space="preserve">Dashboard de seguimiento de prospectos del frente REFERIDO SCP, actualizado al 08/02/2026. Fuente: Agenda Comercial (Microsoft Lists).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Indicador</w:t>
            </w:r>
          </w:p>
        </w:tc>
        <w:tc>
          <w:tcPr>
            <w:tcW w:type="dxa" w:w="20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Valor</w:t>
            </w:r>
          </w:p>
        </w:tc>
        <w:tc>
          <w:tcPr>
            <w:tcW w:type="dxa" w:w="45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Total Referidos SCP (acumulado)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3,295</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Total de prospectos registrados con FRENTE = REFERIDO SCP desde el inicio.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SI_CONTACTO (SC)</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2,305 (70%)</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Prospectos que fueron contactados por el ejecutivo.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NO_CONTACTO (NC)</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859 (26%)</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Prospectos que no pudieron ser contactados.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SIN_GESTIÓN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131 (4%)</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Prospectos sin ninguna gestión registrada.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SC_ASOCIADO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41 (2% del SC)</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Contactados y que se convirtieron en asociados (contrataron).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SC_EN GESTIÓN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956 (41%)</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Contactados y en proceso de gestión activa.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SC_VOLVER A LLAMAR</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753 (33%)</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Contactados, expresaron interés pero solicitan ser llamados después.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SC_NO CALIFICA</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5 (0%)</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Contactados pero no cumplen criterios de aprobación.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SC_NO DESEA</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550 (24%)</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Contactados pero no desean el producto.</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8. Reglas de negocio identificadas</w:t>
      </w:r>
    </w:p>
    <w:p>
      <w:pPr>
        <w:spacing w:after="120"/>
      </w:pPr>
      <w:r>
        <w:rPr>
          <w:rFonts w:ascii="Arial" w:cs="Arial" w:eastAsia="Arial" w:hAnsi="Arial"/>
          <w:sz w:val="22"/>
          <w:szCs w:val="22"/>
        </w:rPr>
        <w:t xml:space="preserve">Las siguientes reglas de negocio han sido identificadas a partir del análisis de los campos calculados en Excel. Representan la lógica que deberá implementarse en las capas Silver y Gold de Databricks.</w:t>
      </w:r>
    </w:p>
    <w:p>
      <w:pPr>
        <w:pStyle w:val="Heading2"/>
        <w:pBdr>
          <w:bottom w:val="single" w:color="E5E7EB" w:sz="4" w:space="4"/>
        </w:pBdr>
        <w:spacing w:after="120" w:before="300"/>
      </w:pPr>
      <w:r>
        <w:rPr>
          <w:rFonts w:ascii="Arial" w:cs="Arial" w:eastAsia="Arial" w:hAnsi="Arial"/>
          <w:b/>
          <w:bCs/>
          <w:color w:val="1F4E79"/>
          <w:sz w:val="28"/>
          <w:szCs w:val="28"/>
        </w:rPr>
        <w:t xml:space="preserve">8.1 Clasificación TIPO (REAL vs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Regla RN-001</w:t>
            </w:r>
          </w:p>
          <w:p>
            <w:pPr>
              <w:spacing w:after="60"/>
            </w:pPr>
            <w:r>
              <w:rPr>
                <w:rFonts w:ascii="Arial" w:cs="Arial" w:eastAsia="Arial" w:hAnsi="Arial"/>
                <w:sz w:val="22"/>
                <w:szCs w:val="22"/>
              </w:rPr>
              <w:t xml:space="preserve">Aplica a: Cotizaciones, Solicitudes, Certificados</w:t>
            </w:r>
          </w:p>
          <w:p>
            <w:pPr>
              <w:spacing w:after="60"/>
            </w:pPr>
            <w:r>
              <w:rPr>
                <w:rFonts w:ascii="Arial" w:cs="Arial" w:eastAsia="Arial" w:hAnsi="Arial"/>
                <w:sz w:val="22"/>
                <w:szCs w:val="22"/>
              </w:rPr>
              <w:t xml:space="preserve">Descripción: Todo registro generado como prueba del sistema debe clasificarse como PRUEBA y excluirse de las métricas de negocio.</w:t>
            </w:r>
          </w:p>
          <w:p>
            <w:pPr>
              <w:spacing w:after="60"/>
            </w:pPr>
            <w:r>
              <w:rPr>
                <w:rFonts w:ascii="Arial" w:cs="Arial" w:eastAsia="Arial" w:hAnsi="Arial"/>
                <w:sz w:val="22"/>
                <w:szCs w:val="22"/>
              </w:rPr>
              <w:t xml:space="preserve">Lógica: Si el nombre del asociado contiene "PRUEBA", o el comentario contiene "PRUEBA", o el usuario actual es un usuario de prueba del sistema → TIPO = "PRUEBA". En caso contrario → TIPO = "REAL".</w:t>
            </w:r>
          </w:p>
          <w:p>
            <w:pPr>
              <w:spacing w:after="60"/>
            </w:pPr>
            <w:r>
              <w:rPr>
                <w:rFonts w:ascii="Arial" w:cs="Arial" w:eastAsia="Arial" w:hAnsi="Arial"/>
                <w:sz w:val="22"/>
                <w:szCs w:val="22"/>
              </w:rPr>
              <w:t xml:space="preserve">Impacto: Los registros TIPO = "PRUEBA" se excluyen del conteo de ventas, certificados activos y todos los KPIs de negocio.</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8.2 Clave de deduplicación (FILTRO / NOMENCLATURA)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Regla RN-002</w:t>
            </w:r>
          </w:p>
          <w:p>
            <w:pPr>
              <w:spacing w:after="60"/>
            </w:pPr>
            <w:r>
              <w:rPr>
                <w:rFonts w:ascii="Arial" w:cs="Arial" w:eastAsia="Arial" w:hAnsi="Arial"/>
                <w:sz w:val="22"/>
                <w:szCs w:val="22"/>
              </w:rPr>
              <w:t xml:space="preserve">Aplica a: Cotizaciones (FILTRO), Solicitudes (NOMENCLATURA)</w:t>
            </w:r>
          </w:p>
          <w:p>
            <w:pPr>
              <w:spacing w:after="60"/>
            </w:pPr>
            <w:r>
              <w:rPr>
                <w:rFonts w:ascii="Arial" w:cs="Arial" w:eastAsia="Arial" w:hAnsi="Arial"/>
                <w:sz w:val="22"/>
                <w:szCs w:val="22"/>
              </w:rPr>
              <w:t xml:space="preserve">Descripción: Para detectar registros duplicados de un mismo prospecto se construye una clave compuesta.</w:t>
            </w:r>
          </w:p>
          <w:p>
            <w:pPr>
              <w:spacing w:after="60"/>
            </w:pPr>
            <w:r>
              <w:rPr>
                <w:rFonts w:ascii="Arial" w:cs="Arial" w:eastAsia="Arial" w:hAnsi="Arial"/>
                <w:sz w:val="22"/>
                <w:szCs w:val="22"/>
              </w:rPr>
              <w:t xml:space="preserve">Lógica Cotizaciones: FILTRO = CONCAT(Usuario_Actual, Nro_de_Documento). Ejemplo: "asakata15356181".</w:t>
            </w:r>
          </w:p>
          <w:p>
            <w:pPr>
              <w:spacing w:after="60"/>
            </w:pPr>
            <w:r>
              <w:rPr>
                <w:rFonts w:ascii="Arial" w:cs="Arial" w:eastAsia="Arial" w:hAnsi="Arial"/>
                <w:sz w:val="22"/>
                <w:szCs w:val="22"/>
              </w:rPr>
              <w:t xml:space="preserve">Lógica Solicitudes: NOMENCLATURA = CONCAT(Nro_de_Documento, AÑO). Ejemplo: "1014525622025".</w:t>
            </w:r>
          </w:p>
          <w:p>
            <w:pPr>
              <w:spacing w:after="60"/>
            </w:pPr>
            <w:r>
              <w:rPr>
                <w:rFonts w:ascii="Arial" w:cs="Arial" w:eastAsia="Arial" w:hAnsi="Arial"/>
                <w:sz w:val="22"/>
                <w:szCs w:val="22"/>
              </w:rPr>
              <w:t xml:space="preserve">SE REPITE? = "SI" si el FILTRO/NOMENCLATURA aparece más de una vez en el periodo. El primer registro se mantiene; los subsiguientes se marcan como duplicados.</w:t>
            </w:r>
          </w:p>
          <w:p>
            <w:pPr>
              <w:spacing w:after="60"/>
            </w:pPr>
            <w:r>
              <w:rPr>
                <w:rFonts w:ascii="Arial" w:cs="Arial" w:eastAsia="Arial" w:hAnsi="Arial"/>
                <w:sz w:val="22"/>
                <w:szCs w:val="22"/>
              </w:rPr>
              <w:t xml:space="preserve">COD_BUSQ (Solicitudes) = CONCAT(Nro_de_Documento, "_", Usuario_Actual). Permite cruce con Certificados.</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8.3 Resolución de jerarquía de ejecutivos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Regla RN-003</w:t>
            </w:r>
          </w:p>
          <w:p>
            <w:pPr>
              <w:spacing w:after="60"/>
            </w:pPr>
            <w:r>
              <w:rPr>
                <w:rFonts w:ascii="Arial" w:cs="Arial" w:eastAsia="Arial" w:hAnsi="Arial"/>
                <w:sz w:val="22"/>
                <w:szCs w:val="22"/>
              </w:rPr>
              <w:t xml:space="preserve">Aplica a: Cotizaciones, Solicitudes, Certificados</w:t>
            </w:r>
          </w:p>
          <w:p>
            <w:pPr>
              <w:spacing w:after="60"/>
            </w:pPr>
            <w:r>
              <w:rPr>
                <w:rFonts w:ascii="Arial" w:cs="Arial" w:eastAsia="Arial" w:hAnsi="Arial"/>
                <w:sz w:val="22"/>
                <w:szCs w:val="22"/>
              </w:rPr>
              <w:t xml:space="preserve">Descripción: El campo "Usuario Actual" del sistema SOFTEK contiene un código de usuario (ej: "asakata"), no el nombre ni la jerarquía.</w:t>
            </w:r>
          </w:p>
          <w:p>
            <w:pPr>
              <w:spacing w:after="60"/>
            </w:pPr>
            <w:r>
              <w:rPr>
                <w:rFonts w:ascii="Arial" w:cs="Arial" w:eastAsia="Arial" w:hAnsi="Arial"/>
                <w:sz w:val="22"/>
                <w:szCs w:val="22"/>
              </w:rPr>
              <w:t xml:space="preserve">Fuente de resolución: Tabla maestra "Ejecutivos" en SANTO (pestaña TD / Lista Ejecutivos).</w:t>
            </w:r>
          </w:p>
          <w:p>
            <w:pPr>
              <w:spacing w:after="60"/>
            </w:pPr>
            <w:r>
              <w:rPr>
                <w:rFonts w:ascii="Arial" w:cs="Arial" w:eastAsia="Arial" w:hAnsi="Arial"/>
                <w:sz w:val="22"/>
                <w:szCs w:val="22"/>
              </w:rPr>
              <w:t xml:space="preserve">Cadena de resolución: USUARIO_ACTUAL → NOMBRE_EJECUTIVO → JEFATURA → JEFATURA2 → COACH → JEFE_VTA_SCP.</w:t>
            </w:r>
          </w:p>
          <w:p>
            <w:pPr>
              <w:spacing w:after="60"/>
            </w:pPr>
            <w:r>
              <w:rPr>
                <w:rFonts w:ascii="Arial" w:cs="Arial" w:eastAsia="Arial" w:hAnsi="Arial"/>
                <w:sz w:val="22"/>
                <w:szCs w:val="22"/>
              </w:rPr>
              <w:t xml:space="preserve">Canal comercial (CANAL): Se clasifica en EJECUTIVO SCP, CANAL DIGITAL, CLUSTER o ADM según el canal de venta y el tipo de usuario.</w:t>
            </w:r>
          </w:p>
          <w:p>
            <w:pPr>
              <w:spacing w:after="60"/>
            </w:pPr>
            <w:r>
              <w:rPr>
                <w:rFonts w:ascii="Arial" w:cs="Arial" w:eastAsia="Arial" w:hAnsi="Arial"/>
                <w:sz w:val="22"/>
                <w:szCs w:val="22"/>
              </w:rPr>
              <w:t xml:space="preserve">Pendiente: Confirmar estructura exacta de la tabla Ejecutivos y reglas de asignación de CANAL en sesión de levantamiento.</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8.4 Clasificación de estados del proceso (Estado2, Estado3, Estado4)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Regla RN-004</w:t>
            </w:r>
          </w:p>
          <w:p>
            <w:pPr>
              <w:spacing w:after="60"/>
            </w:pPr>
            <w:r>
              <w:rPr>
                <w:rFonts w:ascii="Arial" w:cs="Arial" w:eastAsia="Arial" w:hAnsi="Arial"/>
                <w:sz w:val="22"/>
                <w:szCs w:val="22"/>
              </w:rPr>
              <w:t xml:space="preserve">Aplica a: Solicitudes</w:t>
            </w:r>
          </w:p>
          <w:p>
            <w:pPr>
              <w:spacing w:after="60"/>
            </w:pPr>
            <w:r>
              <w:rPr>
                <w:rFonts w:ascii="Arial" w:cs="Arial" w:eastAsia="Arial" w:hAnsi="Arial"/>
                <w:sz w:val="22"/>
                <w:szCs w:val="22"/>
              </w:rPr>
              <w:t xml:space="preserve">Descripción: El campo "Estado" del sistema tiene 38 valores. Para reportes se crean tres niveles de agrupación.</w:t>
            </w:r>
          </w:p>
          <w:p>
            <w:pPr>
              <w:spacing w:after="60"/>
            </w:pPr>
            <w:r>
              <w:rPr>
                <w:rFonts w:ascii="Arial" w:cs="Arial" w:eastAsia="Arial" w:hAnsi="Arial"/>
                <w:sz w:val="22"/>
                <w:szCs w:val="22"/>
              </w:rPr>
              <w:t xml:space="preserve">Estado2: Prefijo numérico de orden + nombre de estado. Ejemplo: "38. WC realizado". Permite ordenamiento en reportes.</w:t>
            </w:r>
          </w:p>
          <w:p>
            <w:pPr>
              <w:spacing w:after="60"/>
            </w:pPr>
            <w:r>
              <w:rPr>
                <w:rFonts w:ascii="Arial" w:cs="Arial" w:eastAsia="Arial" w:hAnsi="Arial"/>
                <w:sz w:val="22"/>
                <w:szCs w:val="22"/>
              </w:rPr>
              <w:t xml:space="preserve">Estado3: Agrupación intermedia de gestión. Ejemplo: "09. ALTA ASOCIADO" agrupa los estados de alta.</w:t>
            </w:r>
          </w:p>
          <w:p>
            <w:pPr>
              <w:spacing w:after="60"/>
            </w:pPr>
            <w:r>
              <w:rPr>
                <w:rFonts w:ascii="Arial" w:cs="Arial" w:eastAsia="Arial" w:hAnsi="Arial"/>
                <w:sz w:val="22"/>
                <w:szCs w:val="22"/>
              </w:rPr>
              <w:t xml:space="preserve">Estado4: Agrupación macro para tableros de seguimiento. Ejemplo: "02. EN ALTA".</w:t>
            </w:r>
          </w:p>
          <w:p>
            <w:pPr>
              <w:spacing w:after="60"/>
            </w:pPr>
            <w:r>
              <w:rPr>
                <w:rFonts w:ascii="Arial" w:cs="Arial" w:eastAsia="Arial" w:hAnsi="Arial"/>
                <w:sz w:val="22"/>
                <w:szCs w:val="22"/>
              </w:rPr>
              <w:t xml:space="preserve">Pendiente: Documentar la tabla de mapeo completa Estado → Estado2 → Estado3 → Estado4 con el equipo de negocio.</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8.5 Flags de hitos del proceso de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Regla RN-005</w:t>
            </w:r>
          </w:p>
          <w:p>
            <w:pPr>
              <w:spacing w:after="60"/>
            </w:pPr>
            <w:r>
              <w:rPr>
                <w:rFonts w:ascii="Arial" w:cs="Arial" w:eastAsia="Arial" w:hAnsi="Arial"/>
                <w:sz w:val="22"/>
                <w:szCs w:val="22"/>
              </w:rPr>
              <w:t xml:space="preserve">Aplica a: Solicitudes</w:t>
            </w:r>
          </w:p>
          <w:p>
            <w:pPr>
              <w:spacing w:after="60"/>
            </w:pPr>
            <w:r>
              <w:rPr>
                <w:rFonts w:ascii="Arial" w:cs="Arial" w:eastAsia="Arial" w:hAnsi="Arial"/>
                <w:sz w:val="22"/>
                <w:szCs w:val="22"/>
              </w:rPr>
              <w:t xml:space="preserve">Descripción: Cada hito del proceso de aprobación se convierte en un flag binario (0/1) para facilitar el conteo y la tasa de conversión.</w:t>
            </w:r>
          </w:p>
          <w:p>
            <w:pPr>
              <w:spacing w:after="60"/>
            </w:pPr>
            <w:r>
              <w:rPr>
                <w:rFonts w:ascii="Arial" w:cs="Arial" w:eastAsia="Arial" w:hAnsi="Arial"/>
                <w:sz w:val="22"/>
                <w:szCs w:val="22"/>
              </w:rPr>
              <w:t xml:space="preserve">Hitos identificados: PRE_REGISTRO, REGISTRO, EVALUADA, APROBADA, DOCS_FIRMADOS, LLAMADA_CALIDAD_OK, PAGO_REALIZADO.</w:t>
            </w:r>
          </w:p>
          <w:p>
            <w:pPr>
              <w:spacing w:after="60"/>
            </w:pPr>
            <w:r>
              <w:rPr>
                <w:rFonts w:ascii="Arial" w:cs="Arial" w:eastAsia="Arial" w:hAnsi="Arial"/>
                <w:sz w:val="22"/>
                <w:szCs w:val="22"/>
              </w:rPr>
              <w:t xml:space="preserve">Lógica: FLAG_HITO = 1 si el Estado de la solicitud es igual o posterior al hito en el flujo. FLAG_HITO = 0 si no ha alcanzado ese estado.</w:t>
            </w:r>
          </w:p>
          <w:p>
            <w:pPr>
              <w:spacing w:after="60"/>
            </w:pPr>
            <w:r>
              <w:rPr>
                <w:rFonts w:ascii="Arial" w:cs="Arial" w:eastAsia="Arial" w:hAnsi="Arial"/>
                <w:sz w:val="22"/>
                <w:szCs w:val="22"/>
              </w:rPr>
              <w:t xml:space="preserve">FLAG_AVANCE = 1 si la solicitud avanzó más allá del pre-registro.</w:t>
            </w:r>
          </w:p>
          <w:p>
            <w:pPr>
              <w:spacing w:after="60"/>
            </w:pPr>
            <w:r>
              <w:rPr>
                <w:rFonts w:ascii="Arial" w:cs="Arial" w:eastAsia="Arial" w:hAnsi="Arial"/>
                <w:sz w:val="22"/>
                <w:szCs w:val="22"/>
              </w:rPr>
              <w:t xml:space="preserve">Uso: Permite calcular tasas de conversión entre etapas: EVALUADAS/REGISTRADAS, APROBADAS/EVALUADAS, PAGADAS/APROBADAS.</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8.6 Certificado válido y comisión 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Regla RN-006</w:t>
            </w:r>
          </w:p>
          <w:p>
            <w:pPr>
              <w:spacing w:after="60"/>
            </w:pPr>
            <w:r>
              <w:rPr>
                <w:rFonts w:ascii="Arial" w:cs="Arial" w:eastAsia="Arial" w:hAnsi="Arial"/>
                <w:sz w:val="22"/>
                <w:szCs w:val="22"/>
              </w:rPr>
              <w:t xml:space="preserve">Aplica a: Certificados</w:t>
            </w:r>
          </w:p>
          <w:p>
            <w:pPr>
              <w:spacing w:after="60"/>
            </w:pPr>
            <w:r>
              <w:rPr>
                <w:rFonts w:ascii="Arial" w:cs="Arial" w:eastAsia="Arial" w:hAnsi="Arial"/>
                <w:sz w:val="22"/>
                <w:szCs w:val="22"/>
              </w:rPr>
              <w:t xml:space="preserve">CERTIFICADO VALIDO?: Se marca como NO si TIPO = "PRUEBA" o si el certificado fue retirado antes de la primera asamblea (Situacion = "Retirado" + ¿Participó en su 1era Asamblea? = "NO").</w:t>
            </w:r>
          </w:p>
          <w:p>
            <w:pPr>
              <w:spacing w:after="60"/>
            </w:pPr>
            <w:r>
              <w:rPr>
                <w:rFonts w:ascii="Arial" w:cs="Arial" w:eastAsia="Arial" w:hAnsi="Arial"/>
                <w:sz w:val="22"/>
                <w:szCs w:val="22"/>
              </w:rPr>
              <w:t xml:space="preserve">% CIA: Porcentaje de comisión de incentivo anual aplicable al certificado. Se obtiene cruzando con la tabla GUIA_CAMP según periodo y canal.</w:t>
            </w:r>
          </w:p>
          <w:p>
            <w:pPr>
              <w:spacing w:after="60"/>
            </w:pPr>
            <w:r>
              <w:rPr>
                <w:rFonts w:ascii="Arial" w:cs="Arial" w:eastAsia="Arial" w:hAnsi="Arial"/>
                <w:sz w:val="22"/>
                <w:szCs w:val="22"/>
              </w:rPr>
              <w:t xml:space="preserve">Campaña CIA 0%: Indicador SI/NO de si el certificado está incluido en una campaña con comisión reducida a 0%.</w:t>
            </w:r>
          </w:p>
          <w:p>
            <w:pPr>
              <w:spacing w:after="60"/>
            </w:pPr>
            <w:r>
              <w:rPr>
                <w:rFonts w:ascii="Arial" w:cs="Arial" w:eastAsia="Arial" w:hAnsi="Arial"/>
                <w:sz w:val="22"/>
                <w:szCs w:val="22"/>
              </w:rPr>
              <w:t xml:space="preserve">DIAS_UTILES_RESTANTES: Días hábiles hasta el cierre del mes de gestión. Se usa para alertas de cumplimiento de metas.</w:t>
            </w:r>
          </w:p>
          <w:p>
            <w:pPr>
              <w:spacing w:after="60"/>
            </w:pPr>
            <w:r>
              <w:rPr>
                <w:rFonts w:ascii="Arial" w:cs="Arial" w:eastAsia="Arial" w:hAnsi="Arial"/>
                <w:sz w:val="22"/>
                <w:szCs w:val="22"/>
              </w:rPr>
              <w:t xml:space="preserve">FLAG CIERRE DE MES: Indica si el certificado fue procesado en el cierre oficial del mes.</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8.7 Dominio FRENTE (Agenda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FFFBEB" w:val="clear"/>
            <w:tcMar>
              <w:top w:type="dxa" w:w="120"/>
              <w:left w:type="dxa" w:w="180"/>
              <w:bottom w:type="dxa" w:w="120"/>
              <w:right w:type="dxa" w:w="180"/>
            </w:tcMar>
          </w:tcPr>
          <w:p>
            <w:pPr>
              <w:spacing w:after="80"/>
            </w:pPr>
            <w:r>
              <w:rPr>
                <w:rFonts w:ascii="Arial" w:cs="Arial" w:eastAsia="Arial" w:hAnsi="Arial"/>
                <w:b/>
                <w:bCs/>
                <w:color w:val="1E40AF"/>
                <w:sz w:val="20"/>
                <w:szCs w:val="20"/>
              </w:rPr>
              <w:t xml:space="preserve">Regla RN-007</w:t>
            </w:r>
          </w:p>
          <w:p>
            <w:pPr>
              <w:spacing w:after="60"/>
            </w:pPr>
            <w:r>
              <w:rPr>
                <w:rFonts w:ascii="Arial" w:cs="Arial" w:eastAsia="Arial" w:hAnsi="Arial"/>
                <w:sz w:val="22"/>
                <w:szCs w:val="22"/>
              </w:rPr>
              <w:t xml:space="preserve">Aplica a: Agenda Comercial y Certificados (campo FRENTE)</w:t>
            </w:r>
          </w:p>
          <w:p>
            <w:pPr>
              <w:spacing w:after="60"/>
            </w:pPr>
            <w:r>
              <w:rPr>
                <w:rFonts w:ascii="Arial" w:cs="Arial" w:eastAsia="Arial" w:hAnsi="Arial"/>
                <w:sz w:val="22"/>
                <w:szCs w:val="22"/>
              </w:rPr>
              <w:t xml:space="preserve">Descripción: El campo FRENTE identifica el origen comercial de cada prospecto o certificado.</w:t>
            </w:r>
          </w:p>
          <w:p>
            <w:pPr>
              <w:spacing w:after="60"/>
            </w:pPr>
            <w:r>
              <w:rPr>
                <w:rFonts w:ascii="Arial" w:cs="Arial" w:eastAsia="Arial" w:hAnsi="Arial"/>
                <w:sz w:val="22"/>
                <w:szCs w:val="22"/>
              </w:rPr>
              <w:t xml:space="preserve">Lista de valores controlada: (vacío), BD ASTARA, BD ASTARA SURCO, BD AUTOLAND, CARTERA PROPIA, PILOTO AUTOLAND, REFERIDO SCP.</w:t>
            </w:r>
          </w:p>
          <w:p>
            <w:pPr>
              <w:spacing w:after="60"/>
            </w:pPr>
            <w:r>
              <w:rPr>
                <w:rFonts w:ascii="Arial" w:cs="Arial" w:eastAsia="Arial" w:hAnsi="Arial"/>
                <w:sz w:val="22"/>
                <w:szCs w:val="22"/>
              </w:rPr>
              <w:t xml:space="preserve">En Certificados: el campo FRENTE se calcula por lookup desde Agenda Comercial usando el Nro. de Documento como clave de cruce.</w:t>
            </w:r>
          </w:p>
          <w:p>
            <w:pPr>
              <w:spacing w:after="60"/>
            </w:pPr>
            <w:r>
              <w:rPr>
                <w:rFonts w:ascii="Arial" w:cs="Arial" w:eastAsia="Arial" w:hAnsi="Arial"/>
                <w:sz w:val="22"/>
                <w:szCs w:val="22"/>
              </w:rPr>
              <w:t xml:space="preserve">REFERIDOS SCP (SI/NO): Campo derivado. Si FRENTE = "REFERIDO SCP" entonces REFERIDOS_SCP = "SI".</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9. Requerimientos funcionales</w:t>
      </w:r>
    </w:p>
    <w:p>
      <w:pPr>
        <w:pStyle w:val="Heading2"/>
        <w:pBdr>
          <w:bottom w:val="single" w:color="E5E7EB" w:sz="4" w:space="4"/>
        </w:pBdr>
        <w:spacing w:after="120" w:before="300"/>
      </w:pPr>
      <w:r>
        <w:rPr>
          <w:rFonts w:ascii="Arial" w:cs="Arial" w:eastAsia="Arial" w:hAnsi="Arial"/>
          <w:b/>
          <w:bCs/>
          <w:color w:val="1F4E79"/>
          <w:sz w:val="28"/>
          <w:szCs w:val="28"/>
        </w:rPr>
        <w:t xml:space="preserve">9.1 Tabla de prioridades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Valor</w:t>
            </w:r>
          </w:p>
        </w:tc>
        <w:tc>
          <w:tcPr>
            <w:tcW w:type="dxa" w:w="16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Prioridad</w:t>
            </w:r>
          </w:p>
        </w:tc>
        <w:tc>
          <w:tcPr>
            <w:tcW w:type="dxa" w:w="68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Inmediata</w:t>
            </w:r>
          </w:p>
        </w:tc>
        <w:tc>
          <w:tcPr>
            <w:tcW w:type="dxa" w:w="6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Crítico para el éxito. Sin este requerimiento el proyecto no es viable.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Alta</w:t>
            </w:r>
          </w:p>
        </w:tc>
        <w:tc>
          <w:tcPr>
            <w:tcW w:type="dxa" w:w="6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Alta prioridad; el proyecto puede avanzar en MVP sin él, pero es esencial a corto plazo.</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Media</w:t>
            </w:r>
          </w:p>
        </w:tc>
        <w:tc>
          <w:tcPr>
            <w:tcW w:type="dxa" w:w="6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Importante para el valor completo, pero no bloquea el MVP.</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Baja</w:t>
            </w:r>
          </w:p>
        </w:tc>
        <w:tc>
          <w:tcPr>
            <w:tcW w:type="dxa" w:w="6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Deseable; no es crítico para el éxito del proyecto.</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Prospectiva</w:t>
            </w:r>
          </w:p>
        </w:tc>
        <w:tc>
          <w:tcPr>
            <w:tcW w:type="dxa" w:w="6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Fuera del alcance actual; candidato para fases futuras.</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9.2 Requerimientos de ingesta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600"/>
        <w:gridCol w:w="1560"/>
        <w:gridCol w:w="1200"/>
      </w:tblGrid>
      <w:tr>
        <w:tc>
          <w:tcPr>
            <w:tcW w:type="dxa" w:w="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ID</w:t>
            </w:r>
          </w:p>
        </w:tc>
        <w:tc>
          <w:tcPr>
            <w:tcW w:type="dxa" w:w="4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Requerimiento</w:t>
            </w:r>
          </w:p>
        </w:tc>
        <w:tc>
          <w:tcPr>
            <w:tcW w:type="dxa" w:w="16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Fuente</w:t>
            </w:r>
          </w:p>
        </w:tc>
        <w:tc>
          <w:tcPr>
            <w:tcW w:type="dxa" w:w="15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Capa destino</w:t>
            </w:r>
          </w:p>
        </w:tc>
        <w:tc>
          <w:tcPr>
            <w:tcW w:type="dxa" w:w="1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Prior.</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RF-01</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El sistema debe ingerir automáticamente las tablas Cotizaciones, Solicitudes y Certificados de SANTO en la capa Bronze sin transformación.</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SANTO</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RF-02</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La ingesta debe preservar todos los campos fuente tal como los entrega SANTO, incluyendo valores nulos y formatos originales.</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SANTO</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RF-03</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 debe agregar metadata de carga a cada registro: timestamp de ingesta, nombre del archivo fuente y batch_id.</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Sistema</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RF-04</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El sistema debe ingerir los registros de Agenda Comercial (Microsoft Lists) filtrando por todos los valores de FRENTE disponibles.</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Agenda Comercial</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RF-05</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La frecuencia de actualización mínima debe ser diaria para todas las fuentes.</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Todas</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RF-06</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El pipeline debe manejar reintentos automáticos ante fallos de conexión con las fuentes.</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Todas</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9.3 Requerimientos de transformación (Silver)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560"/>
        <w:gridCol w:w="1200"/>
      </w:tblGrid>
      <w:tr>
        <w:tc>
          <w:tcPr>
            <w:tcW w:type="dxa" w:w="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ID</w:t>
            </w:r>
          </w:p>
        </w:tc>
        <w:tc>
          <w:tcPr>
            <w:tcW w:type="dxa" w:w="5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Requerimiento</w:t>
            </w:r>
          </w:p>
        </w:tc>
        <w:tc>
          <w:tcPr>
            <w:tcW w:type="dxa" w:w="15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Tabla</w:t>
            </w:r>
          </w:p>
        </w:tc>
        <w:tc>
          <w:tcPr>
            <w:tcW w:type="dxa" w:w="1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Prior.</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RT-01</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Implementar la lógica de clasificación TIPO (REAL/PRUEBA) según regla RN-001.</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Todas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RT-02</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Implementar deduplicación usando campo FILTRO/NOMENCLATURA según regla RN-002.</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Cotiz./Solic.</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RT-03</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Resolver la jerarquía de ejecutivos (USUARIO → JEFATURA → COACH) por join con tabla maestra Ejecutivos según RN-003.</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Todas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RT-04</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Descomponer campos de fecha en AÑO, MES, DIA, PERIODO (YYYYMM) y SEMANA.</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Todas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RT-05</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Implementar la clasificación de estados en tres niveles (Estado2, Estado3, Estado4) según tabla de mapeo a documentar con negocio.</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Solicitudes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RT-06</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Calcular los flags de hitos del proceso (PRE_REGISTRO, REGISTRO, EVALUADA, APROBADA, DOCS_FIRMADOS, LLAMADA_CALIDAD_OK, PAGO_REALIZADO).</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Solicitudes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RT-07</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Estandarizar clasificación de CANAL (EJECUTIVO SCP, CANAL DIGITAL, CLUSTER, ADM).</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Todas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RT-08</w:t>
            </w:r>
          </w:p>
        </w:tc>
        <w:tc>
          <w:tcPr>
            <w:tcW w:type="dxa" w:w="5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Implementar el campo CERTIFICADO_VALIDO? según regla RN-006.</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Certificados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r>
    </w:tbl>
    <w:p>
      <w:pPr>
        <w:spacing w:after="80"/>
      </w:pPr>
      <w:r>
        <w:rPr>
          <w:rFonts w:ascii="Arial" w:cs="Arial" w:eastAsia="Arial" w:hAnsi="Arial"/>
          <w:sz w:val="22"/>
          <w:szCs w:val="22"/>
        </w:rPr>
        <w:t xml:space="preserve"/>
      </w:r>
    </w:p>
    <w:p>
      <w:pPr>
        <w:pStyle w:val="Heading2"/>
        <w:pBdr>
          <w:bottom w:val="single" w:color="E5E7EB" w:sz="4" w:space="4"/>
        </w:pBdr>
        <w:spacing w:after="120" w:before="300"/>
      </w:pPr>
      <w:r>
        <w:rPr>
          <w:rFonts w:ascii="Arial" w:cs="Arial" w:eastAsia="Arial" w:hAnsi="Arial"/>
          <w:b/>
          <w:bCs/>
          <w:color w:val="1F4E79"/>
          <w:sz w:val="28"/>
          <w:szCs w:val="28"/>
        </w:rPr>
        <w:t xml:space="preserve">9.4 Requerimientos de capa Gold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1760"/>
        <w:gridCol w:w="1200"/>
      </w:tblGrid>
      <w:tr>
        <w:tc>
          <w:tcPr>
            <w:tcW w:type="dxa" w:w="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ID</w:t>
            </w:r>
          </w:p>
        </w:tc>
        <w:tc>
          <w:tcPr>
            <w:tcW w:type="dxa" w:w="56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Requerimiento</w:t>
            </w:r>
          </w:p>
        </w:tc>
        <w:tc>
          <w:tcPr>
            <w:tcW w:type="dxa" w:w="17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Dashboard destino</w:t>
            </w:r>
          </w:p>
        </w:tc>
        <w:tc>
          <w:tcPr>
            <w:tcW w:type="dxa" w:w="1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Prior.</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RG-01</w:t>
            </w:r>
          </w:p>
        </w:tc>
        <w:tc>
          <w:tcPr>
            <w:tcW w:type="dxa" w:w="5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Tabla agregada de certificados activos por mes, equipo de venta y tipo (DIRECTO/REFERIDO). Incluye totales de ventas, activos, retiros y resoluciones.</w:t>
            </w:r>
          </w:p>
        </w:tc>
        <w:tc>
          <w:tcPr>
            <w:tcW w:type="dxa" w:w="1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Resumen Certificados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RG-02</w:t>
            </w:r>
          </w:p>
        </w:tc>
        <w:tc>
          <w:tcPr>
            <w:tcW w:type="dxa" w:w="5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Tabla de seguimiento diario de ventas con desglose SCP/Digital y por subcanal.</w:t>
            </w:r>
          </w:p>
        </w:tc>
        <w:tc>
          <w:tcPr>
            <w:tcW w:type="dxa" w:w="1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Resumen Certificados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RG-03</w:t>
            </w:r>
          </w:p>
        </w:tc>
        <w:tc>
          <w:tcPr>
            <w:tcW w:type="dxa" w:w="5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Tabla de referidos SCP con métricas de contactabilidad: SI_CONTACTO, NO_CONTACTO, SIN_GESTIÓN y breakdown por sub-estado.</w:t>
            </w:r>
          </w:p>
        </w:tc>
        <w:tc>
          <w:tcPr>
            <w:tcW w:type="dxa" w:w="1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Total Referidos SCP</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RG-04</w:t>
            </w:r>
          </w:p>
        </w:tc>
        <w:tc>
          <w:tcPr>
            <w:tcW w:type="dxa" w:w="5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Serie temporal diaria de referidos con desglose por status (para gráfico de barras apiladas).</w:t>
            </w:r>
          </w:p>
        </w:tc>
        <w:tc>
          <w:tcPr>
            <w:tcW w:type="dxa" w:w="1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Total Referidos SCP</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RG-05</w:t>
            </w:r>
          </w:p>
        </w:tc>
        <w:tc>
          <w:tcPr>
            <w:tcW w:type="dxa" w:w="5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Tabla de tasas de conversión del funnel: prospectos → cotizaciones → solicitudes → certificados.</w:t>
            </w:r>
          </w:p>
        </w:tc>
        <w:tc>
          <w:tcPr>
            <w:tcW w:type="dxa" w:w="1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Nuevo</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3</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10.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ID</w:t>
            </w:r>
          </w:p>
        </w:tc>
        <w:tc>
          <w:tcPr>
            <w:tcW w:type="dxa" w:w="20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Categoría</w:t>
            </w:r>
          </w:p>
        </w:tc>
        <w:tc>
          <w:tcPr>
            <w:tcW w:type="dxa" w:w="65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Requerimiento</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RNF-01</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Rendimiento</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Los pipelines de ingesta deben completarse dentro de una ventana de procesamiento nocturna (máximo 4 horas para el volumen inicial estimado).</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RNF-02</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Disponibilidad</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Los datos en capa Gold deben estar actualizados antes de las 08:00 AM hora Lima de cada día hábil.</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RNF-03</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Calidad de datos</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Se deben implementar controles de calidad (Great Expectations o similar) que validen nulos, rangos de fechas y cardinalidades esperadas en cada ejecución.</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RNF-04</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Gobernanza</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Todas las tablas deben estar registradas en Unity Catalog con descripción, propietario y política de acceso definida.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RNF-05</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Seguridad</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Los datos de clientes (DNI, nombre, celular, correo) deben estar clasificados como PII y sujetos a políticas de enmascaramiento o acceso restringido.</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RNF-06</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Trazabilidad</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Cada registro en Silver/Gold debe mantener referencia al archivo o batch de origen en Bronze (linaje de datos).</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RNF-07</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Mantenibilidad</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Las reglas de negocio deben implementarse como funciones documentadas y versionadas (Git), no como lógica embebida en notebooks ad-hoc.</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sz w:val="20"/>
                <w:szCs w:val="20"/>
              </w:rPr>
              <w:t xml:space="preserve">RNF-08</w:t>
            </w:r>
          </w:p>
        </w:tc>
        <w:tc>
          <w:tcPr>
            <w:tcW w:type="dxa" w:w="20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Compatibilidad</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Las tablas Gold deben ser compatibles con la herramienta de visualización actual del banco (confirmar si es Power BI u otra plataforma).</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11. Participantes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Nombre / Rol</w:t>
            </w:r>
          </w:p>
        </w:tc>
        <w:tc>
          <w:tcPr>
            <w:tcW w:type="dxa" w:w="2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Área</w:t>
            </w:r>
          </w:p>
        </w:tc>
        <w:tc>
          <w:tcPr>
            <w:tcW w:type="dxa" w:w="2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Tipo</w:t>
            </w:r>
          </w:p>
        </w:tc>
        <w:tc>
          <w:tcPr>
            <w:tcW w:type="dxa" w:w="25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Responsabilidad</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Por confirmar</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Fondos Colectivos</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Usuario Final</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Valida reglas de negocio, indicadores y el diccionario de datos.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Por confirmar</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TI / Datos SCP</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Sponsor técnico</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Aprueba arquitectura destino y accesos a fuentes.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Por confirmar</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Tercero (Softek)</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Proveedor</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Proporciona documentación técnica de SANTO y facilita acceso a datos.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Equipo Migración</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Consultoría</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Responsable del proyecto</w:t>
            </w:r>
          </w:p>
        </w:tc>
        <w:tc>
          <w:tcPr>
            <w:tcW w:type="dxa" w:w="2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Levantamiento, diseño, implementación y entrega.</w:t>
            </w:r>
          </w:p>
        </w:tc>
      </w:tr>
    </w:tbl>
    <w:p>
      <w:pPr>
        <w:spacing w:after="80"/>
      </w:pPr>
      <w:r>
        <w:rPr>
          <w:rFonts w:ascii="Arial" w:cs="Arial" w:eastAsia="Arial" w:hAnsi="Arial"/>
          <w:sz w:val="22"/>
          <w:szCs w:val="22"/>
        </w:rPr>
        <w:t xml:space="preserve"/>
      </w:r>
    </w:p>
    <w:p>
      <w:pPr>
        <w:pStyle w:val="Heading1"/>
        <w:spacing w:after="160" w:before="400"/>
      </w:pPr>
      <w:r>
        <w:rPr>
          <w:rFonts w:ascii="Arial" w:cs="Arial" w:eastAsia="Arial" w:hAnsi="Arial"/>
          <w:b/>
          <w:bCs/>
          <w:color w:val="EC1C24"/>
          <w:sz w:val="36"/>
          <w:szCs w:val="36"/>
        </w:rPr>
        <w:t xml:space="preserve">12. Restricciones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Restricción</w:t>
            </w:r>
          </w:p>
        </w:tc>
        <w:tc>
          <w:tcPr>
            <w:tcW w:type="dxa" w:w="69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991B1B"/>
                <w:sz w:val="20"/>
                <w:szCs w:val="20"/>
              </w:rPr>
              <w:t xml:space="preserve">Acceso a fuentes</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Las fuentes SANTO residen on-premise y son administradas por Softek. El acceso para la extracción automatizada requiere negociación formal con el proveedor.</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991B1B"/>
                <w:sz w:val="20"/>
                <w:szCs w:val="20"/>
              </w:rPr>
              <w:t xml:space="preserve">Datos gestionados por tercero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El equipo de datos no puede modificar los sistemas fuente ni sus esquemas. La solución debe adaptarse a lo que SANTO exponga.</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991B1B"/>
                <w:sz w:val="20"/>
                <w:szCs w:val="20"/>
              </w:rPr>
              <w:t xml:space="preserve">Documentación de SANTO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 documentación técnica del sistema Softek es limitada. Parte del levantamiento depende de la disponibilidad de tiempo del proveedor.</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991B1B"/>
                <w:sz w:val="20"/>
                <w:szCs w:val="20"/>
              </w:rPr>
              <w:t xml:space="preserve">Disponibilidad de usuarios</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Las sesiones de validación de reglas de negocio dependen de la agenda de los usuarios finales del área comercial.</w:t>
            </w:r>
          </w:p>
        </w:tc>
      </w:tr>
      <w:tr>
        <w:tc>
          <w:tcPr>
            <w:tcW w:type="dxa" w:w="24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991B1B"/>
                <w:sz w:val="20"/>
                <w:szCs w:val="20"/>
              </w:rPr>
              <w:t xml:space="preserve">Herramienta de BI destino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Está por confirmar si la herramienta de visualización final es Power BI u otra. Esto puede afectar el formato de las tablas Gold.</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13.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Término / Sigla</w:t>
            </w:r>
          </w:p>
        </w:tc>
        <w:tc>
          <w:tcPr>
            <w:tcW w:type="dxa" w:w="69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Certificado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Contrato de fondo colectivo vehicular suscrito por un asociado. Es la unidad central de negocio.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Asociado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Cliente que ha contratado un certificado de fondo colectivo.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Prospecto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Persona que ha sido contactada o ha expresado interés en el producto, aún sin contratar.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Adjudicado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Indica que el asociado ya recibió el vehículo (ganó el sorteo o remate). Su contrato pasa a estado activo-adjudicado.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FRENTE</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Campo de la Agenda Comercial que clasifica el origen comercial de un prospecto: REFERIDO SCP, BD ASTARA, CARTERA PROPIA, etc.</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Solicitud</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Trámite formal de crédito iniciado por un prospecto. Tiene un flujo de 38 estados desde Pre-Registrada hasta WC realizado.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Cotización</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Paso previo a la solicitud. El ejecutivo registra el interés del prospecto y sus datos básicos.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Canal Digital</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Ventas originadas por medios digitales: web, redes sociales, app.</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EJECUTIVO SCP</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Vendedor directo del banco Santander Consumer Perú.</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CLUSTER</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Grupo de agentes externos que venden el producto del banco bajo supervisión de un Jefe SCP.</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CIA (% CIA)</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Comisión de Incentivo Anual. Porcentaje variable según campaña aplicable al certificado vendido.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WC (Welcome Call)</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Llamada de bienvenida al asociado luego de formalizar su contrato. Estado 38 del flujo de solicitudes.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SOFTEK / SANTO</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Empresa y sistema que administra el core de fondos colectivos (on-premise).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SCP</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Santander Consumer Perú.</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BRD</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Business Requirements Document. Documento de requerimientos de negocio.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As-Is</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Estado actual de procesos y sistemas, antes de la transformación.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Bronze / Silver / Gold</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Capas de la arquitectura Medallion en Databricks: Bronze = raw, Silver = limpio, Gold = agregado para consumo.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STM</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Source-to-Target Mapping. Plantilla técnica que documenta la transformación campo a campo.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KPI</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Key Performance Indicator. Indicador clave de desempeño.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PII</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Personally Identifiable Information. Datos personales identificables (DNI, nombre, celular, correo).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Unity Catalog</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Módulo de gobernanza de Databricks para registro, control de acceso y linaje de datos.</w:t>
            </w:r>
          </w:p>
        </w:tc>
      </w:tr>
    </w:tbl>
    <w:p>
      <w:pPr>
        <w:pageBreakBefore/>
      </w:pPr>
      <w:r>
        <w:br/>
        <w:t xml:space="preserve"/>
      </w:r>
    </w:p>
    <w:p>
      <w:pPr>
        <w:pStyle w:val="Heading1"/>
        <w:spacing w:after="160" w:before="400"/>
      </w:pPr>
      <w:r>
        <w:rPr>
          <w:rFonts w:ascii="Arial" w:cs="Arial" w:eastAsia="Arial" w:hAnsi="Arial"/>
          <w:b/>
          <w:bCs/>
          <w:color w:val="EC1C24"/>
          <w:sz w:val="36"/>
          <w:szCs w:val="36"/>
        </w:rPr>
        <w:t xml:space="preserve">14. Pendientes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000"/>
        <w:gridCol w:w="1360"/>
      </w:tblGrid>
      <w:tr>
        <w:tc>
          <w:tcPr>
            <w:tcW w:type="dxa" w:w="8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w:t>
            </w:r>
          </w:p>
        </w:tc>
        <w:tc>
          <w:tcPr>
            <w:tcW w:type="dxa" w:w="5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Acción pendiente</w:t>
            </w:r>
          </w:p>
        </w:tc>
        <w:tc>
          <w:tcPr>
            <w:tcW w:type="dxa" w:w="20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Responsable</w:t>
            </w:r>
          </w:p>
        </w:tc>
        <w:tc>
          <w:tcPr>
            <w:tcW w:type="dxa" w:w="13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Prioridad</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P-01</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Sesión de levantamiento de la tabla maestra Ejecutivos: estructura, campos y reglas de asignación de canal y jerarquía.</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Equipo + Softek</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Alta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P-02</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Documentar tabla de mapeo Estado → Estado2/3/4 con el equipo de negocio.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Equipo + Usuarios</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Alta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P-03</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Sesión de levantamiento de fuente REFERIDOS (BD_REFERIDOS2 y/o filtro Agenda Comercial).</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Equipo + Usuarios</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Alta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P-04</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Confirmar herramienta de visualización BI destino (Power BI u otra).</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TI SCP</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Alta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P-05</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Negociar acceso automatizado a SANTO con Softek para el pipeline de ingesta.</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TI SCP + Softek</w:t>
            </w:r>
          </w:p>
        </w:tc>
        <w:tc>
          <w:tcPr>
            <w:tcW w:type="dxa" w:w="13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bCs/>
                <w:color w:val="991B1B"/>
                <w:sz w:val="20"/>
                <w:szCs w:val="20"/>
              </w:rPr>
              <w:t xml:space="preserve">Crítica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P-06</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Completar diccionario de datos para Agenda Comercial (campos calculados y reglas de estado).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Equipo</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Media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P-07</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Levantar tablas TD, TD_CERT, GUIA_CAMP y STATUS de SANTO.</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Equipo + Softek</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Media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P-08</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Elaborar Source-to-Target Mapping (STM) campo a campo para las tres tablas principales.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Equipo</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Alta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P-09</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Definir modelo lógico de datos (ERD) en Databricks.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Equipo</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Media</w:t>
            </w:r>
          </w:p>
        </w:tc>
      </w:tr>
      <w:tr>
        <w:tc>
          <w:tcPr>
            <w:tcW w:type="dxa" w:w="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sz w:val="20"/>
                <w:szCs w:val="20"/>
              </w:rPr>
              <w:t xml:space="preserve">P-10</w:t>
            </w:r>
          </w:p>
        </w:tc>
        <w:tc>
          <w:tcPr>
            <w:tcW w:type="dxa" w:w="5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Elaborar Project Charter formal con cronograma, presupuesto y RACI.</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PM</w:t>
            </w:r>
          </w:p>
        </w:tc>
        <w:tc>
          <w:tcPr>
            <w:tcW w:type="dxa" w:w="1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Alta</w:t>
            </w:r>
          </w:p>
        </w:tc>
      </w:tr>
    </w:tbl>
    <w:p>
      <w:pPr>
        <w:spacing w:after="80"/>
      </w:pPr>
      <w:r>
        <w:rPr>
          <w:rFonts w:ascii="Arial" w:cs="Arial" w:eastAsia="Arial" w:hAnsi="Arial"/>
          <w:sz w:val="22"/>
          <w:szCs w:val="22"/>
        </w:rPr>
        <w:t xml:space="preserve"/>
      </w:r>
    </w:p>
    <w:p>
      <w:pPr>
        <w:pStyle w:val="Heading1"/>
        <w:spacing w:after="160" w:before="400"/>
      </w:pPr>
      <w:r>
        <w:rPr>
          <w:rFonts w:ascii="Arial" w:cs="Arial" w:eastAsia="Arial" w:hAnsi="Arial"/>
          <w:b/>
          <w:bCs/>
          <w:color w:val="EC1C24"/>
          <w:sz w:val="36"/>
          <w:szCs w:val="36"/>
        </w:rPr>
        <w:t xml:space="preserve">15.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Documento</w:t>
            </w:r>
          </w:p>
        </w:tc>
        <w:tc>
          <w:tcPr>
            <w:tcW w:type="dxa" w:w="6160"/>
            <w:tcBorders>
              <w:top w:val="single" w:color="AAAAAA" w:sz="1"/>
              <w:left w:val="single" w:color="AAAAAA" w:sz="1"/>
              <w:bottom w:val="single" w:color="AAAAAA" w:sz="1"/>
              <w:right w:val="single" w:color="AAAAAA" w:sz="1"/>
            </w:tcBorders>
            <w:shd w:fill="F3F4F6" w:val="clear"/>
            <w:tcMar>
              <w:top w:type="dxa" w:w="80"/>
              <w:left w:type="dxa" w:w="150"/>
              <w:bottom w:type="dxa" w:w="80"/>
              <w:right w:type="dxa" w:w="150"/>
            </w:tcMar>
          </w:tcPr>
          <w:p>
            <w:pPr>
              <w:jc w:val="center"/>
            </w:pPr>
            <w:r>
              <w:rPr>
                <w:rFonts w:ascii="Arial" w:cs="Arial" w:eastAsia="Arial" w:hAnsi="Arial"/>
                <w:b/>
                <w:bCs/>
                <w:sz w:val="20"/>
                <w:szCs w:val="20"/>
              </w:rPr>
              <w:t xml:space="preserve">Descripción / Ubicación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Diccionario_Campos_SANTO_Fondos_Colectivos.xlsx</w:t>
            </w:r>
          </w:p>
        </w:tc>
        <w:tc>
          <w:tcPr>
            <w:tcW w:type="dxa" w:w="6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Diccionario de datos completo de las tablas Cotizaciones, Solicitudes y Certificados de SANTO. Incluye campos fuente y calculados. Elaborado en Abril 2026.</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Diccionario_de_Campos_-_Fondos_Colectivos_-_copia.xlsx</w:t>
            </w:r>
          </w:p>
        </w:tc>
        <w:tc>
          <w:tcPr>
            <w:tcW w:type="dxa" w:w="6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Diccionario de datos de referencia proporcionado por el equipo TI de Santander. Fuente: Sistema SOFTEK (REPORTE RIESGO COB, REPORTE SOLICITUDES FILTRADAS, etc.).</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Diagrama As-Is — Fondos Colectivos</w:t>
            </w:r>
          </w:p>
        </w:tc>
        <w:tc>
          <w:tcPr>
            <w:tcW w:type="dxa" w:w="6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Diagrama de arquitectura del estado actual: fuentes → extracción → consumo. Elaborado en sesión de levantamiento.</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r>
              <w:rPr>
                <w:rFonts w:ascii="Arial" w:cs="Arial" w:eastAsia="Arial" w:hAnsi="Arial"/>
                <w:b/>
                <w:bCs/>
                <w:sz w:val="20"/>
                <w:szCs w:val="20"/>
              </w:rPr>
              <w:t xml:space="preserve">Data Migration Roadmap Guidance v3.2</w:t>
            </w:r>
          </w:p>
        </w:tc>
        <w:tc>
          <w:tcPr>
            <w:tcW w:type="dxa" w:w="6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Guía de referencia metodológica para proyectos de migración de datos. US Federal Student Aid. Disponible en: studentaid.gov</w:t>
            </w:r>
          </w:p>
        </w:tc>
      </w:tr>
    </w:tbl>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120"/>
        <w:jc w:val="center"/>
      </w:pPr>
      <w:r>
        <w:rPr>
          <w:rFonts w:ascii="Arial" w:cs="Arial" w:eastAsia="Arial" w:hAnsi="Arial"/>
          <w:sz w:val="22"/>
          <w:szCs w:val="22"/>
        </w:rPr>
        <w:t xml:space="preserve">— Fin del documento —</w:t>
      </w:r>
    </w:p>
    <w:p>
      <w:pPr>
        <w:spacing w:after="120"/>
        <w:jc w:val="center"/>
      </w:pPr>
      <w:r>
        <w:rPr>
          <w:rFonts w:ascii="Arial" w:cs="Arial" w:eastAsia="Arial" w:hAnsi="Arial"/>
          <w:sz w:val="22"/>
          <w:szCs w:val="22"/>
        </w:rPr>
        <w:t xml:space="preserve">Versión 1.0 — Borrador inicial — Abril 2026 — Confidencial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Arial" w:cs="Arial" w:eastAsia="Arial" w:hAnsi="Arial"/>
        <w:color w:val="9CA3AF"/>
        <w:sz w:val="18"/>
        <w:szCs w:val="18"/>
      </w:rPr>
      <w:t xml:space="preserve">Versión 1.0   |   Abril 2026   |   Confidencial   |   Pág.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1C24" w:sz="4" w:space="4"/>
      </w:pBdr>
      <w:spacing w:after="0"/>
    </w:pPr>
    <w:r>
      <w:rPr>
        <w:rFonts w:ascii="Arial" w:cs="Arial" w:eastAsia="Arial" w:hAnsi="Arial"/>
        <w:b/>
        <w:bCs/>
        <w:color w:val="EC1C24"/>
        <w:sz w:val="18"/>
        <w:szCs w:val="18"/>
      </w:rPr>
      <w:t xml:space="preserve">Banco Santander Consumer Perú  </w:t>
    </w:r>
    <w:r>
      <w:rPr>
        <w:rFonts w:ascii="Arial" w:cs="Arial" w:eastAsia="Arial" w:hAnsi="Arial"/>
        <w:color w:val="6B7280"/>
        <w:sz w:val="18"/>
        <w:szCs w:val="18"/>
      </w:rPr>
      <w:t xml:space="preserve">|  Documento de Requerimientos de Negocio — Fondos Colectivos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EC1C2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2026-04-23T13:46:37.975Z</dcterms:created>
  <dcterms:modified xsi:type="dcterms:W3CDTF">2026-04-23T13:46:37.976Z</dcterms:modified>
</cp:coreProperties>
</file>

<file path=docProps/custom.xml><?xml version="1.0" encoding="utf-8"?>
<Properties xmlns="http://schemas.openxmlformats.org/officeDocument/2006/custom-properties" xmlns:vt="http://schemas.openxmlformats.org/officeDocument/2006/docPropsVTypes"/>
</file>