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16C91" w14:textId="6AAB426D" w:rsidR="00242381" w:rsidRDefault="00242381" w:rsidP="009A62BC">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Pr>
          <w:rFonts w:ascii="Times New Roman" w:eastAsia="Times New Roman" w:hAnsi="Times New Roman" w:cs="Times New Roman"/>
          <w:b/>
          <w:bCs/>
          <w:sz w:val="27"/>
          <w:szCs w:val="27"/>
          <w:lang w:eastAsia="es-VE"/>
        </w:rPr>
        <w:t xml:space="preserve">2. </w:t>
      </w:r>
      <w:r w:rsidRPr="00242381">
        <w:rPr>
          <w:rFonts w:ascii="Times New Roman" w:eastAsia="Times New Roman" w:hAnsi="Times New Roman" w:cs="Times New Roman"/>
          <w:b/>
          <w:bCs/>
          <w:sz w:val="32"/>
          <w:szCs w:val="32"/>
          <w:lang w:eastAsia="es-VE"/>
        </w:rPr>
        <w:t xml:space="preserve">Marto </w:t>
      </w:r>
      <w:proofErr w:type="spellStart"/>
      <w:r w:rsidRPr="00242381">
        <w:rPr>
          <w:rFonts w:ascii="Times New Roman" w:eastAsia="Times New Roman" w:hAnsi="Times New Roman" w:cs="Times New Roman"/>
          <w:b/>
          <w:bCs/>
          <w:sz w:val="32"/>
          <w:szCs w:val="32"/>
          <w:lang w:eastAsia="es-VE"/>
        </w:rPr>
        <w:t>Teorico</w:t>
      </w:r>
      <w:proofErr w:type="spellEnd"/>
    </w:p>
    <w:p w14:paraId="3FFEEC54" w14:textId="331EC17B" w:rsidR="009A62BC" w:rsidRPr="009A62BC" w:rsidRDefault="009A62BC" w:rsidP="009A62BC">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9A62BC">
        <w:rPr>
          <w:rFonts w:ascii="Times New Roman" w:eastAsia="Times New Roman" w:hAnsi="Times New Roman" w:cs="Times New Roman"/>
          <w:b/>
          <w:bCs/>
          <w:sz w:val="27"/>
          <w:szCs w:val="27"/>
          <w:lang w:eastAsia="es-VE"/>
        </w:rPr>
        <w:t>2.1. Bases Teóricas</w:t>
      </w:r>
    </w:p>
    <w:p w14:paraId="31BD1A73"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El Análisis Exploratorio de Datos (EDA, por sus siglas en inglés) es la etapa fundamental de todo proyecto de ciencia de datos. Su objetivo primordial es analizar los conjuntos de datos para determinar patrones, detectar anomalías (valores atípicos), verificar suposiciones y resumir características principales, generalmente mediante métodos de visualización, antes de aplicar modelos complejos o extraer conclusiones definitivas.</w:t>
      </w:r>
    </w:p>
    <w:p w14:paraId="3EAC6FA4" w14:textId="77777777" w:rsidR="009A62BC" w:rsidRPr="009A62BC" w:rsidRDefault="009A62BC" w:rsidP="009A62BC">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9A62BC">
        <w:rPr>
          <w:rFonts w:ascii="Times New Roman" w:eastAsia="Times New Roman" w:hAnsi="Times New Roman" w:cs="Times New Roman"/>
          <w:b/>
          <w:bCs/>
          <w:sz w:val="27"/>
          <w:szCs w:val="27"/>
          <w:lang w:eastAsia="es-VE"/>
        </w:rPr>
        <w:t>2.2. Pilares del Análisis Exploratorio</w:t>
      </w:r>
    </w:p>
    <w:p w14:paraId="7843B374"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Para realizar un EDA efectivo en el mercado automotriz, se abordan los siguientes niveles de análisis:</w:t>
      </w:r>
    </w:p>
    <w:p w14:paraId="584850EA" w14:textId="77777777" w:rsidR="009A62BC" w:rsidRPr="009A62BC" w:rsidRDefault="009A62BC" w:rsidP="009A62BC">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9A62BC">
        <w:rPr>
          <w:rFonts w:ascii="Times New Roman" w:eastAsia="Times New Roman" w:hAnsi="Times New Roman" w:cs="Times New Roman"/>
          <w:b/>
          <w:bCs/>
          <w:sz w:val="24"/>
          <w:szCs w:val="24"/>
          <w:lang w:eastAsia="es-VE"/>
        </w:rPr>
        <w:t>2.2.1. Análisis Univariante</w:t>
      </w:r>
    </w:p>
    <w:p w14:paraId="695510E0"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Se centra en el estudio de una sola variable a la vez para entender su distribución y dispersión. En este proyecto, se aplica a variables como el precio y el kilometraje.</w:t>
      </w:r>
    </w:p>
    <w:p w14:paraId="7F75427B"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2.2.1.1. Medidas de Tendencia Central</w:t>
      </w:r>
    </w:p>
    <w:p w14:paraId="5084521B"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Buscan resumir en un solo valor el centro de la distribución de los datos:</w:t>
      </w:r>
    </w:p>
    <w:p w14:paraId="7F4EC586" w14:textId="67622D6D" w:rsidR="009A62BC" w:rsidRPr="009A62BC" w:rsidRDefault="009A62BC" w:rsidP="009A62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9A62BC">
        <w:rPr>
          <w:rFonts w:ascii="Times New Roman" w:eastAsia="Times New Roman" w:hAnsi="Times New Roman" w:cs="Times New Roman"/>
          <w:b/>
          <w:bCs/>
          <w:sz w:val="24"/>
          <w:szCs w:val="24"/>
          <w:lang w:eastAsia="es-VE"/>
        </w:rPr>
        <w:t>Media :</w:t>
      </w:r>
      <w:proofErr w:type="gramEnd"/>
      <w:r w:rsidRPr="009A62BC">
        <w:rPr>
          <w:rFonts w:ascii="Times New Roman" w:eastAsia="Times New Roman" w:hAnsi="Times New Roman" w:cs="Times New Roman"/>
          <w:sz w:val="24"/>
          <w:szCs w:val="24"/>
          <w:lang w:eastAsia="es-VE"/>
        </w:rPr>
        <w:t xml:space="preserve"> Es el promedio aritmético obtenido al sumar todos los valores y dividirlos por el número total de observaciones. Es sensible a valores extremos.</w:t>
      </w:r>
    </w:p>
    <w:p w14:paraId="0BFC9F38" w14:textId="097AC341" w:rsidR="009A62BC" w:rsidRPr="009A62BC" w:rsidRDefault="009A62BC" w:rsidP="009A62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Mediana:</w:t>
      </w:r>
      <w:r w:rsidRPr="009A62BC">
        <w:rPr>
          <w:rFonts w:ascii="Times New Roman" w:eastAsia="Times New Roman" w:hAnsi="Times New Roman" w:cs="Times New Roman"/>
          <w:sz w:val="24"/>
          <w:szCs w:val="24"/>
          <w:lang w:eastAsia="es-VE"/>
        </w:rPr>
        <w:t xml:space="preserve"> Es el valor central de un conjunto de datos ordenados. Al no verse afectada por valores atípicos, es una medida de centro robusta.</w:t>
      </w:r>
    </w:p>
    <w:p w14:paraId="7574CC6E" w14:textId="48AEF550" w:rsidR="009A62BC" w:rsidRDefault="009A62BC" w:rsidP="009A62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Moda:</w:t>
      </w:r>
      <w:r w:rsidRPr="009A62BC">
        <w:rPr>
          <w:rFonts w:ascii="Times New Roman" w:eastAsia="Times New Roman" w:hAnsi="Times New Roman" w:cs="Times New Roman"/>
          <w:sz w:val="24"/>
          <w:szCs w:val="24"/>
          <w:lang w:eastAsia="es-VE"/>
        </w:rPr>
        <w:t xml:space="preserve"> Es el valor que aparece con mayor frecuencia. Útil para identificar las marcas o modelos de vehículos más comunes en la muestra.</w:t>
      </w:r>
    </w:p>
    <w:p w14:paraId="7B05C71D" w14:textId="329B7D6F"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Pr>
          <w:noProof/>
        </w:rPr>
        <w:lastRenderedPageBreak/>
        <w:drawing>
          <wp:inline distT="0" distB="0" distL="0" distR="0" wp14:anchorId="1227E46B" wp14:editId="112357D4">
            <wp:extent cx="5612130" cy="2831636"/>
            <wp:effectExtent l="0" t="0" r="7620" b="6985"/>
            <wp:docPr id="35" name="Imagen 35" descr="mean median and mode in normal and skewed distributions,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an median and mode in normal and skewed distributions, generada po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831636"/>
                    </a:xfrm>
                    <a:prstGeom prst="rect">
                      <a:avLst/>
                    </a:prstGeom>
                    <a:noFill/>
                    <a:ln>
                      <a:noFill/>
                    </a:ln>
                  </pic:spPr>
                </pic:pic>
              </a:graphicData>
            </a:graphic>
          </wp:inline>
        </w:drawing>
      </w:r>
    </w:p>
    <w:p w14:paraId="1CD394CB"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2.2.1.2. Medidas de Dispersión</w:t>
      </w:r>
    </w:p>
    <w:p w14:paraId="7BFFFAE5"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Permiten conocer la variabilidad de la muestra respecto a su centro:</w:t>
      </w:r>
    </w:p>
    <w:p w14:paraId="26492A84" w14:textId="45A13774" w:rsidR="009A62BC" w:rsidRPr="009A62BC" w:rsidRDefault="009A62BC" w:rsidP="009A62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Varianza:</w:t>
      </w:r>
      <w:r w:rsidRPr="009A62BC">
        <w:rPr>
          <w:rFonts w:ascii="Times New Roman" w:eastAsia="Times New Roman" w:hAnsi="Times New Roman" w:cs="Times New Roman"/>
          <w:sz w:val="24"/>
          <w:szCs w:val="24"/>
          <w:lang w:eastAsia="es-VE"/>
        </w:rPr>
        <w:t xml:space="preserve"> Promedio de los cuadrados de las desviaciones de los datos respecto a su media.</w:t>
      </w:r>
    </w:p>
    <w:p w14:paraId="5FF0BF3A" w14:textId="54D948BD" w:rsidR="009A62BC" w:rsidRPr="009A62BC" w:rsidRDefault="009A62BC" w:rsidP="009A62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Desviación Estándar:</w:t>
      </w:r>
      <w:r w:rsidRPr="009A62BC">
        <w:rPr>
          <w:rFonts w:ascii="Times New Roman" w:eastAsia="Times New Roman" w:hAnsi="Times New Roman" w:cs="Times New Roman"/>
          <w:sz w:val="24"/>
          <w:szCs w:val="24"/>
          <w:lang w:eastAsia="es-VE"/>
        </w:rPr>
        <w:t xml:space="preserve"> Raíz cuadrada de la varianza. Expresa la dispersión en las mismas unidades que los datos originales (dólares o kilómetros).</w:t>
      </w:r>
    </w:p>
    <w:p w14:paraId="31E4F388" w14:textId="52909111" w:rsidR="009A62BC" w:rsidRPr="009A62BC" w:rsidRDefault="009A62BC" w:rsidP="009A62B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Rango Intercuartílico (RIC):</w:t>
      </w:r>
      <w:r w:rsidRPr="009A62BC">
        <w:rPr>
          <w:rFonts w:ascii="Times New Roman" w:eastAsia="Times New Roman" w:hAnsi="Times New Roman" w:cs="Times New Roman"/>
          <w:sz w:val="24"/>
          <w:szCs w:val="24"/>
          <w:lang w:eastAsia="es-VE"/>
        </w:rPr>
        <w:t xml:space="preserve"> Diferencia entre el tercer cuartil (Q_3) y el primer cuartil (Q_1), representando el 50% central de los datos.</w:t>
      </w:r>
    </w:p>
    <w:p w14:paraId="375F6B9E"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 xml:space="preserve">2.2.1.3. Visualizaciones y Detección de </w:t>
      </w:r>
      <w:proofErr w:type="spellStart"/>
      <w:r w:rsidRPr="009A62BC">
        <w:rPr>
          <w:rFonts w:ascii="Times New Roman" w:eastAsia="Times New Roman" w:hAnsi="Times New Roman" w:cs="Times New Roman"/>
          <w:b/>
          <w:bCs/>
          <w:sz w:val="24"/>
          <w:szCs w:val="24"/>
          <w:lang w:eastAsia="es-VE"/>
        </w:rPr>
        <w:t>Outliers</w:t>
      </w:r>
      <w:proofErr w:type="spellEnd"/>
    </w:p>
    <w:p w14:paraId="62B0639D" w14:textId="77777777" w:rsidR="009A62BC" w:rsidRPr="009A62BC" w:rsidRDefault="009A62BC" w:rsidP="009A62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Histogramas:</w:t>
      </w:r>
      <w:r w:rsidRPr="009A62BC">
        <w:rPr>
          <w:rFonts w:ascii="Times New Roman" w:eastAsia="Times New Roman" w:hAnsi="Times New Roman" w:cs="Times New Roman"/>
          <w:sz w:val="24"/>
          <w:szCs w:val="24"/>
          <w:lang w:eastAsia="es-VE"/>
        </w:rPr>
        <w:t xml:space="preserve"> Representación gráfica donde la superficie de cada barra es proporcional a la frecuencia de los valores, permitiendo observar la simetría de los precios.</w:t>
      </w:r>
    </w:p>
    <w:p w14:paraId="23EA685C" w14:textId="23C2E922" w:rsidR="009A62BC" w:rsidRPr="009A62BC" w:rsidRDefault="009A62BC" w:rsidP="009A62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Diagramas de Caja (</w:t>
      </w:r>
      <w:proofErr w:type="spellStart"/>
      <w:r w:rsidRPr="009A62BC">
        <w:rPr>
          <w:rFonts w:ascii="Times New Roman" w:eastAsia="Times New Roman" w:hAnsi="Times New Roman" w:cs="Times New Roman"/>
          <w:b/>
          <w:bCs/>
          <w:sz w:val="24"/>
          <w:szCs w:val="24"/>
          <w:lang w:eastAsia="es-VE"/>
        </w:rPr>
        <w:t>Boxplots</w:t>
      </w:r>
      <w:proofErr w:type="spellEnd"/>
      <w:r w:rsidRPr="009A62BC">
        <w:rPr>
          <w:rFonts w:ascii="Times New Roman" w:eastAsia="Times New Roman" w:hAnsi="Times New Roman" w:cs="Times New Roman"/>
          <w:b/>
          <w:bCs/>
          <w:sz w:val="24"/>
          <w:szCs w:val="24"/>
          <w:lang w:eastAsia="es-VE"/>
        </w:rPr>
        <w:t>):</w:t>
      </w:r>
      <w:r w:rsidRPr="009A62BC">
        <w:rPr>
          <w:rFonts w:ascii="Times New Roman" w:eastAsia="Times New Roman" w:hAnsi="Times New Roman" w:cs="Times New Roman"/>
          <w:sz w:val="24"/>
          <w:szCs w:val="24"/>
          <w:lang w:eastAsia="es-VE"/>
        </w:rPr>
        <w:t xml:space="preserve"> Gráfico basado en cuartiles que facilita la detección de </w:t>
      </w:r>
      <w:proofErr w:type="spellStart"/>
      <w:r w:rsidRPr="009A62BC">
        <w:rPr>
          <w:rFonts w:ascii="Times New Roman" w:eastAsia="Times New Roman" w:hAnsi="Times New Roman" w:cs="Times New Roman"/>
          <w:b/>
          <w:bCs/>
          <w:sz w:val="24"/>
          <w:szCs w:val="24"/>
          <w:lang w:eastAsia="es-VE"/>
        </w:rPr>
        <w:t>Outliers</w:t>
      </w:r>
      <w:proofErr w:type="spellEnd"/>
      <w:r w:rsidRPr="009A62BC">
        <w:rPr>
          <w:rFonts w:ascii="Times New Roman" w:eastAsia="Times New Roman" w:hAnsi="Times New Roman" w:cs="Times New Roman"/>
          <w:sz w:val="24"/>
          <w:szCs w:val="24"/>
          <w:lang w:eastAsia="es-VE"/>
        </w:rPr>
        <w:t xml:space="preserve"> (valores atípicos). Se consideran como tales los puntos ubicados más allá de </w:t>
      </w:r>
      <w:proofErr w:type="gramStart"/>
      <w:r w:rsidRPr="009A62BC">
        <w:rPr>
          <w:rFonts w:ascii="Times New Roman" w:eastAsia="Times New Roman" w:hAnsi="Times New Roman" w:cs="Times New Roman"/>
          <w:sz w:val="24"/>
          <w:szCs w:val="24"/>
          <w:lang w:eastAsia="es-VE"/>
        </w:rPr>
        <w:t xml:space="preserve">1.5 </w:t>
      </w:r>
      <w:r>
        <w:rPr>
          <w:rFonts w:ascii="Times New Roman" w:eastAsia="Times New Roman" w:hAnsi="Times New Roman" w:cs="Times New Roman"/>
          <w:sz w:val="24"/>
          <w:szCs w:val="24"/>
          <w:lang w:eastAsia="es-VE"/>
        </w:rPr>
        <w:t xml:space="preserve"> </w:t>
      </w:r>
      <w:r w:rsidRPr="009A62BC">
        <w:rPr>
          <w:rFonts w:ascii="Times New Roman" w:eastAsia="Times New Roman" w:hAnsi="Times New Roman" w:cs="Times New Roman"/>
          <w:sz w:val="24"/>
          <w:szCs w:val="24"/>
          <w:lang w:eastAsia="es-VE"/>
        </w:rPr>
        <w:t>RIC</w:t>
      </w:r>
      <w:proofErr w:type="gramEnd"/>
      <w:r w:rsidRPr="009A62BC">
        <w:rPr>
          <w:rFonts w:ascii="Times New Roman" w:eastAsia="Times New Roman" w:hAnsi="Times New Roman" w:cs="Times New Roman"/>
          <w:sz w:val="24"/>
          <w:szCs w:val="24"/>
          <w:lang w:eastAsia="es-VE"/>
        </w:rPr>
        <w:t xml:space="preserve"> de los límites de la caja.</w:t>
      </w:r>
    </w:p>
    <w:p w14:paraId="72B26198" w14:textId="77777777" w:rsidR="009A62BC" w:rsidRPr="009A62BC" w:rsidRDefault="009A62BC" w:rsidP="009A62BC">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9A62BC">
        <w:rPr>
          <w:rFonts w:ascii="Times New Roman" w:eastAsia="Times New Roman" w:hAnsi="Times New Roman" w:cs="Times New Roman"/>
          <w:b/>
          <w:bCs/>
          <w:sz w:val="24"/>
          <w:szCs w:val="24"/>
          <w:lang w:eastAsia="es-VE"/>
        </w:rPr>
        <w:t>2.2.2. Análisis Bivariante y Multivariante</w:t>
      </w:r>
    </w:p>
    <w:p w14:paraId="4056EBB2"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Examina la relación entre dos o más variables simultáneamente para entender fenómenos complejos, como la depreciación vehicular.</w:t>
      </w:r>
    </w:p>
    <w:p w14:paraId="619CDFA8"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2.2.2.1. Correlación</w:t>
      </w:r>
    </w:p>
    <w:p w14:paraId="5A3D219F"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Medida estadística que cuantifica la fuerza y dirección de la relación lineal entre dos variables:</w:t>
      </w:r>
    </w:p>
    <w:p w14:paraId="763FB8AF" w14:textId="77777777" w:rsidR="009A62BC" w:rsidRPr="009A62BC" w:rsidRDefault="009A62BC" w:rsidP="009A62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lastRenderedPageBreak/>
        <w:t>Correlación Positiva:</w:t>
      </w:r>
      <w:r w:rsidRPr="009A62BC">
        <w:rPr>
          <w:rFonts w:ascii="Times New Roman" w:eastAsia="Times New Roman" w:hAnsi="Times New Roman" w:cs="Times New Roman"/>
          <w:sz w:val="24"/>
          <w:szCs w:val="24"/>
          <w:lang w:eastAsia="es-VE"/>
        </w:rPr>
        <w:t xml:space="preserve"> Ambas variables aumentan simultáneamente (ej. tamaño del motor y precio).</w:t>
      </w:r>
    </w:p>
    <w:p w14:paraId="059D0F4F" w14:textId="77777777" w:rsidR="009A62BC" w:rsidRPr="009A62BC" w:rsidRDefault="009A62BC" w:rsidP="009A62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Correlación Negativa:</w:t>
      </w:r>
      <w:r w:rsidRPr="009A62BC">
        <w:rPr>
          <w:rFonts w:ascii="Times New Roman" w:eastAsia="Times New Roman" w:hAnsi="Times New Roman" w:cs="Times New Roman"/>
          <w:sz w:val="24"/>
          <w:szCs w:val="24"/>
          <w:lang w:eastAsia="es-VE"/>
        </w:rPr>
        <w:t xml:space="preserve"> Una variable aumenta mientras la otra disminuye (ej. millaje y precio).</w:t>
      </w:r>
    </w:p>
    <w:p w14:paraId="7560F561" w14:textId="78523B5C" w:rsidR="009A62BC" w:rsidRDefault="009A62BC" w:rsidP="009A62B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Coeficiente de Correlación:</w:t>
      </w:r>
      <w:r w:rsidRPr="009A62BC">
        <w:rPr>
          <w:rFonts w:ascii="Times New Roman" w:eastAsia="Times New Roman" w:hAnsi="Times New Roman" w:cs="Times New Roman"/>
          <w:sz w:val="24"/>
          <w:szCs w:val="24"/>
          <w:lang w:eastAsia="es-VE"/>
        </w:rPr>
        <w:t xml:space="preserve"> Generalmente se utiliza el Coeficiente de Pearson, cuyo valor oscila entre -1 y +1.</w:t>
      </w:r>
    </w:p>
    <w:p w14:paraId="6D84CACD" w14:textId="1A64FB35"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Pr>
          <w:noProof/>
        </w:rPr>
        <w:drawing>
          <wp:inline distT="0" distB="0" distL="0" distR="0" wp14:anchorId="2F05E6EA" wp14:editId="779B352C">
            <wp:extent cx="5612130" cy="2831636"/>
            <wp:effectExtent l="0" t="0" r="7620" b="6985"/>
            <wp:docPr id="36" name="Imagen 36" descr="positive, negative, and no correlation scatter plots,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itive, negative, and no correlation scatter plots, generada por 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831636"/>
                    </a:xfrm>
                    <a:prstGeom prst="rect">
                      <a:avLst/>
                    </a:prstGeom>
                    <a:noFill/>
                    <a:ln>
                      <a:noFill/>
                    </a:ln>
                  </pic:spPr>
                </pic:pic>
              </a:graphicData>
            </a:graphic>
          </wp:inline>
        </w:drawing>
      </w:r>
    </w:p>
    <w:p w14:paraId="23B28679"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2.2.2.2. Visualizaciones de Relación</w:t>
      </w:r>
    </w:p>
    <w:p w14:paraId="12DD89BB" w14:textId="77777777" w:rsidR="009A62BC" w:rsidRPr="009A62BC" w:rsidRDefault="009A62BC" w:rsidP="009A62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Gráficos de Dispersión (</w:t>
      </w:r>
      <w:proofErr w:type="spellStart"/>
      <w:r w:rsidRPr="009A62BC">
        <w:rPr>
          <w:rFonts w:ascii="Times New Roman" w:eastAsia="Times New Roman" w:hAnsi="Times New Roman" w:cs="Times New Roman"/>
          <w:b/>
          <w:bCs/>
          <w:sz w:val="24"/>
          <w:szCs w:val="24"/>
          <w:lang w:eastAsia="es-VE"/>
        </w:rPr>
        <w:t>Scatter</w:t>
      </w:r>
      <w:proofErr w:type="spellEnd"/>
      <w:r w:rsidRPr="009A62BC">
        <w:rPr>
          <w:rFonts w:ascii="Times New Roman" w:eastAsia="Times New Roman" w:hAnsi="Times New Roman" w:cs="Times New Roman"/>
          <w:b/>
          <w:bCs/>
          <w:sz w:val="24"/>
          <w:szCs w:val="24"/>
          <w:lang w:eastAsia="es-VE"/>
        </w:rPr>
        <w:t xml:space="preserve"> </w:t>
      </w:r>
      <w:proofErr w:type="spellStart"/>
      <w:r w:rsidRPr="009A62BC">
        <w:rPr>
          <w:rFonts w:ascii="Times New Roman" w:eastAsia="Times New Roman" w:hAnsi="Times New Roman" w:cs="Times New Roman"/>
          <w:b/>
          <w:bCs/>
          <w:sz w:val="24"/>
          <w:szCs w:val="24"/>
          <w:lang w:eastAsia="es-VE"/>
        </w:rPr>
        <w:t>Plots</w:t>
      </w:r>
      <w:proofErr w:type="spellEnd"/>
      <w:r w:rsidRPr="009A62BC">
        <w:rPr>
          <w:rFonts w:ascii="Times New Roman" w:eastAsia="Times New Roman" w:hAnsi="Times New Roman" w:cs="Times New Roman"/>
          <w:b/>
          <w:bCs/>
          <w:sz w:val="24"/>
          <w:szCs w:val="24"/>
          <w:lang w:eastAsia="es-VE"/>
        </w:rPr>
        <w:t>):</w:t>
      </w:r>
      <w:r w:rsidRPr="009A62BC">
        <w:rPr>
          <w:rFonts w:ascii="Times New Roman" w:eastAsia="Times New Roman" w:hAnsi="Times New Roman" w:cs="Times New Roman"/>
          <w:sz w:val="24"/>
          <w:szCs w:val="24"/>
          <w:lang w:eastAsia="es-VE"/>
        </w:rPr>
        <w:t xml:space="preserve"> Herramienta principal para visualizar la relación entre el kilometraje y el precio, donde la formación de tendencias indica el tipo de correlación.</w:t>
      </w:r>
    </w:p>
    <w:p w14:paraId="57F98022" w14:textId="77777777" w:rsidR="009A62BC" w:rsidRPr="009A62BC" w:rsidRDefault="009A62BC" w:rsidP="009A62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Mapas de Calor (</w:t>
      </w:r>
      <w:proofErr w:type="spellStart"/>
      <w:r w:rsidRPr="009A62BC">
        <w:rPr>
          <w:rFonts w:ascii="Times New Roman" w:eastAsia="Times New Roman" w:hAnsi="Times New Roman" w:cs="Times New Roman"/>
          <w:b/>
          <w:bCs/>
          <w:sz w:val="24"/>
          <w:szCs w:val="24"/>
          <w:lang w:eastAsia="es-VE"/>
        </w:rPr>
        <w:t>Heatmaps</w:t>
      </w:r>
      <w:proofErr w:type="spellEnd"/>
      <w:r w:rsidRPr="009A62BC">
        <w:rPr>
          <w:rFonts w:ascii="Times New Roman" w:eastAsia="Times New Roman" w:hAnsi="Times New Roman" w:cs="Times New Roman"/>
          <w:b/>
          <w:bCs/>
          <w:sz w:val="24"/>
          <w:szCs w:val="24"/>
          <w:lang w:eastAsia="es-VE"/>
        </w:rPr>
        <w:t>):</w:t>
      </w:r>
      <w:r w:rsidRPr="009A62BC">
        <w:rPr>
          <w:rFonts w:ascii="Times New Roman" w:eastAsia="Times New Roman" w:hAnsi="Times New Roman" w:cs="Times New Roman"/>
          <w:sz w:val="24"/>
          <w:szCs w:val="24"/>
          <w:lang w:eastAsia="es-VE"/>
        </w:rPr>
        <w:t xml:space="preserve"> Representación de una matriz de correlación mediante colores, donde las intensidades cercanas a 1 o -1 indican relaciones fuertes entre las características del vehículo.</w:t>
      </w:r>
    </w:p>
    <w:p w14:paraId="19B570D8" w14:textId="77777777" w:rsidR="009A62BC" w:rsidRPr="009A62BC" w:rsidRDefault="009A62BC" w:rsidP="009A62BC">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9A62BC">
        <w:rPr>
          <w:rFonts w:ascii="Times New Roman" w:eastAsia="Times New Roman" w:hAnsi="Times New Roman" w:cs="Times New Roman"/>
          <w:b/>
          <w:bCs/>
          <w:sz w:val="24"/>
          <w:szCs w:val="24"/>
          <w:lang w:eastAsia="es-VE"/>
        </w:rPr>
        <w:t xml:space="preserve">2.2.3. Limpieza de Datos (Data </w:t>
      </w:r>
      <w:proofErr w:type="spellStart"/>
      <w:r w:rsidRPr="009A62BC">
        <w:rPr>
          <w:rFonts w:ascii="Times New Roman" w:eastAsia="Times New Roman" w:hAnsi="Times New Roman" w:cs="Times New Roman"/>
          <w:b/>
          <w:bCs/>
          <w:sz w:val="24"/>
          <w:szCs w:val="24"/>
          <w:lang w:eastAsia="es-VE"/>
        </w:rPr>
        <w:t>Cleaning</w:t>
      </w:r>
      <w:proofErr w:type="spellEnd"/>
      <w:r w:rsidRPr="009A62BC">
        <w:rPr>
          <w:rFonts w:ascii="Times New Roman" w:eastAsia="Times New Roman" w:hAnsi="Times New Roman" w:cs="Times New Roman"/>
          <w:b/>
          <w:bCs/>
          <w:sz w:val="24"/>
          <w:szCs w:val="24"/>
          <w:lang w:eastAsia="es-VE"/>
        </w:rPr>
        <w:t>)</w:t>
      </w:r>
    </w:p>
    <w:p w14:paraId="60B6D5CC" w14:textId="77777777" w:rsidR="009A62BC" w:rsidRPr="009A62BC" w:rsidRDefault="009A62BC" w:rsidP="009A62BC">
      <w:p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sz w:val="24"/>
          <w:szCs w:val="24"/>
          <w:lang w:eastAsia="es-VE"/>
        </w:rPr>
        <w:t>El EDA permite identificar las necesidades de tratamiento de la base de datos:</w:t>
      </w:r>
    </w:p>
    <w:p w14:paraId="6134F050" w14:textId="77777777" w:rsidR="009A62BC" w:rsidRPr="009A62BC" w:rsidRDefault="009A62BC" w:rsidP="009A62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Valores nulos:</w:t>
      </w:r>
      <w:r w:rsidRPr="009A62BC">
        <w:rPr>
          <w:rFonts w:ascii="Times New Roman" w:eastAsia="Times New Roman" w:hAnsi="Times New Roman" w:cs="Times New Roman"/>
          <w:sz w:val="24"/>
          <w:szCs w:val="24"/>
          <w:lang w:eastAsia="es-VE"/>
        </w:rPr>
        <w:t xml:space="preserve"> Decisión técnica entre eliminar registros o imputar valores mediante la media o mediana.</w:t>
      </w:r>
    </w:p>
    <w:p w14:paraId="46F41AE8" w14:textId="77777777" w:rsidR="009A62BC" w:rsidRPr="009A62BC" w:rsidRDefault="009A62BC" w:rsidP="009A62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Duplicados:</w:t>
      </w:r>
      <w:r w:rsidRPr="009A62BC">
        <w:rPr>
          <w:rFonts w:ascii="Times New Roman" w:eastAsia="Times New Roman" w:hAnsi="Times New Roman" w:cs="Times New Roman"/>
          <w:sz w:val="24"/>
          <w:szCs w:val="24"/>
          <w:lang w:eastAsia="es-VE"/>
        </w:rPr>
        <w:t xml:space="preserve"> Identificación y remoción de registros repetidos que sesgan el análisis.</w:t>
      </w:r>
    </w:p>
    <w:p w14:paraId="1DB91B10" w14:textId="77777777" w:rsidR="009A62BC" w:rsidRPr="009A62BC" w:rsidRDefault="009A62BC" w:rsidP="009A62B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Tipado de datos:</w:t>
      </w:r>
      <w:r w:rsidRPr="009A62BC">
        <w:rPr>
          <w:rFonts w:ascii="Times New Roman" w:eastAsia="Times New Roman" w:hAnsi="Times New Roman" w:cs="Times New Roman"/>
          <w:sz w:val="24"/>
          <w:szCs w:val="24"/>
          <w:lang w:eastAsia="es-VE"/>
        </w:rPr>
        <w:t xml:space="preserve"> Asegurar la correcta naturaleza de las variables (fechas, flotantes o enteros).</w:t>
      </w:r>
    </w:p>
    <w:p w14:paraId="614FF40D" w14:textId="77777777" w:rsidR="009A62BC" w:rsidRPr="009A62BC" w:rsidRDefault="009A62BC" w:rsidP="009A62BC">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9A62BC">
        <w:rPr>
          <w:rFonts w:ascii="Times New Roman" w:eastAsia="Times New Roman" w:hAnsi="Times New Roman" w:cs="Times New Roman"/>
          <w:b/>
          <w:bCs/>
          <w:sz w:val="27"/>
          <w:szCs w:val="27"/>
          <w:lang w:eastAsia="es-VE"/>
        </w:rPr>
        <w:t>2.3. El Flujo de Trabajo Típico</w:t>
      </w:r>
    </w:p>
    <w:p w14:paraId="53527C40" w14:textId="77777777" w:rsidR="009A62BC" w:rsidRPr="009A62BC" w:rsidRDefault="009A62BC" w:rsidP="009A62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Carga y estructura:</w:t>
      </w:r>
      <w:r w:rsidRPr="009A62BC">
        <w:rPr>
          <w:rFonts w:ascii="Times New Roman" w:eastAsia="Times New Roman" w:hAnsi="Times New Roman" w:cs="Times New Roman"/>
          <w:sz w:val="24"/>
          <w:szCs w:val="24"/>
          <w:lang w:eastAsia="es-VE"/>
        </w:rPr>
        <w:t xml:space="preserve"> Revisión del esquema, nombres de columnas y tipos de datos.</w:t>
      </w:r>
    </w:p>
    <w:p w14:paraId="1E7581D0" w14:textId="77777777" w:rsidR="009A62BC" w:rsidRPr="009A62BC" w:rsidRDefault="009A62BC" w:rsidP="009A62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lastRenderedPageBreak/>
        <w:t>Estadística descriptiva:</w:t>
      </w:r>
      <w:r w:rsidRPr="009A62BC">
        <w:rPr>
          <w:rFonts w:ascii="Times New Roman" w:eastAsia="Times New Roman" w:hAnsi="Times New Roman" w:cs="Times New Roman"/>
          <w:sz w:val="24"/>
          <w:szCs w:val="24"/>
          <w:lang w:eastAsia="es-VE"/>
        </w:rPr>
        <w:t xml:space="preserve"> Generación de resúmenes numéricos de las variables.</w:t>
      </w:r>
    </w:p>
    <w:p w14:paraId="1D01C4E2" w14:textId="77777777" w:rsidR="009A62BC" w:rsidRPr="009A62BC" w:rsidRDefault="009A62BC" w:rsidP="009A62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Visualización inicial:</w:t>
      </w:r>
      <w:r w:rsidRPr="009A62BC">
        <w:rPr>
          <w:rFonts w:ascii="Times New Roman" w:eastAsia="Times New Roman" w:hAnsi="Times New Roman" w:cs="Times New Roman"/>
          <w:sz w:val="24"/>
          <w:szCs w:val="24"/>
          <w:lang w:eastAsia="es-VE"/>
        </w:rPr>
        <w:t xml:space="preserve"> Creación de gráficos exploratorios de comportamiento.</w:t>
      </w:r>
    </w:p>
    <w:p w14:paraId="67EACE0B" w14:textId="77777777" w:rsidR="009A62BC" w:rsidRPr="009A62BC" w:rsidRDefault="009A62BC" w:rsidP="009A62B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Prueba de hipótesis:</w:t>
      </w:r>
      <w:r w:rsidRPr="009A62BC">
        <w:rPr>
          <w:rFonts w:ascii="Times New Roman" w:eastAsia="Times New Roman" w:hAnsi="Times New Roman" w:cs="Times New Roman"/>
          <w:sz w:val="24"/>
          <w:szCs w:val="24"/>
          <w:lang w:eastAsia="es-VE"/>
        </w:rPr>
        <w:t xml:space="preserve"> Verificación de supuestos, como la normalidad de la distribución.</w:t>
      </w:r>
    </w:p>
    <w:p w14:paraId="35EF61D3" w14:textId="77777777" w:rsidR="009A62BC" w:rsidRPr="009A62BC" w:rsidRDefault="009A62BC" w:rsidP="009A62BC">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9A62BC">
        <w:rPr>
          <w:rFonts w:ascii="Times New Roman" w:eastAsia="Times New Roman" w:hAnsi="Times New Roman" w:cs="Times New Roman"/>
          <w:b/>
          <w:bCs/>
          <w:sz w:val="27"/>
          <w:szCs w:val="27"/>
          <w:lang w:eastAsia="es-VE"/>
        </w:rPr>
        <w:t>2.4. Herramientas de Procesamiento</w:t>
      </w:r>
    </w:p>
    <w:p w14:paraId="3B88AFB9" w14:textId="77777777" w:rsidR="009A62BC" w:rsidRPr="009A62BC" w:rsidRDefault="009A62BC" w:rsidP="009A62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Python:</w:t>
      </w:r>
      <w:r w:rsidRPr="009A62BC">
        <w:rPr>
          <w:rFonts w:ascii="Times New Roman" w:eastAsia="Times New Roman" w:hAnsi="Times New Roman" w:cs="Times New Roman"/>
          <w:sz w:val="24"/>
          <w:szCs w:val="24"/>
          <w:lang w:eastAsia="es-VE"/>
        </w:rPr>
        <w:t xml:space="preserve"> Uso de bibliotecas como </w:t>
      </w:r>
      <w:r w:rsidRPr="009A62BC">
        <w:rPr>
          <w:rFonts w:ascii="Times New Roman" w:eastAsia="Times New Roman" w:hAnsi="Times New Roman" w:cs="Times New Roman"/>
          <w:b/>
          <w:bCs/>
          <w:sz w:val="24"/>
          <w:szCs w:val="24"/>
          <w:lang w:eastAsia="es-VE"/>
        </w:rPr>
        <w:t>Pandas</w:t>
      </w:r>
      <w:r w:rsidRPr="009A62BC">
        <w:rPr>
          <w:rFonts w:ascii="Times New Roman" w:eastAsia="Times New Roman" w:hAnsi="Times New Roman" w:cs="Times New Roman"/>
          <w:sz w:val="24"/>
          <w:szCs w:val="24"/>
          <w:lang w:eastAsia="es-VE"/>
        </w:rPr>
        <w:t xml:space="preserve"> para la manipulación de </w:t>
      </w:r>
      <w:proofErr w:type="spellStart"/>
      <w:r w:rsidRPr="009A62BC">
        <w:rPr>
          <w:rFonts w:ascii="Times New Roman" w:eastAsia="Times New Roman" w:hAnsi="Times New Roman" w:cs="Times New Roman"/>
          <w:sz w:val="24"/>
          <w:szCs w:val="24"/>
          <w:lang w:eastAsia="es-VE"/>
        </w:rPr>
        <w:t>DataFrames</w:t>
      </w:r>
      <w:proofErr w:type="spellEnd"/>
      <w:r w:rsidRPr="009A62BC">
        <w:rPr>
          <w:rFonts w:ascii="Times New Roman" w:eastAsia="Times New Roman" w:hAnsi="Times New Roman" w:cs="Times New Roman"/>
          <w:sz w:val="24"/>
          <w:szCs w:val="24"/>
          <w:lang w:eastAsia="es-VE"/>
        </w:rPr>
        <w:t xml:space="preserve"> y </w:t>
      </w:r>
      <w:proofErr w:type="spellStart"/>
      <w:r w:rsidRPr="009A62BC">
        <w:rPr>
          <w:rFonts w:ascii="Times New Roman" w:eastAsia="Times New Roman" w:hAnsi="Times New Roman" w:cs="Times New Roman"/>
          <w:b/>
          <w:bCs/>
          <w:sz w:val="24"/>
          <w:szCs w:val="24"/>
          <w:lang w:eastAsia="es-VE"/>
        </w:rPr>
        <w:t>Plotly</w:t>
      </w:r>
      <w:proofErr w:type="spellEnd"/>
      <w:r w:rsidRPr="009A62BC">
        <w:rPr>
          <w:rFonts w:ascii="Times New Roman" w:eastAsia="Times New Roman" w:hAnsi="Times New Roman" w:cs="Times New Roman"/>
          <w:sz w:val="24"/>
          <w:szCs w:val="24"/>
          <w:lang w:eastAsia="es-VE"/>
        </w:rPr>
        <w:t xml:space="preserve"> para la generación de gráficos interactivos en entornos como </w:t>
      </w:r>
      <w:proofErr w:type="spellStart"/>
      <w:r w:rsidRPr="009A62BC">
        <w:rPr>
          <w:rFonts w:ascii="Times New Roman" w:eastAsia="Times New Roman" w:hAnsi="Times New Roman" w:cs="Times New Roman"/>
          <w:sz w:val="24"/>
          <w:szCs w:val="24"/>
          <w:lang w:eastAsia="es-VE"/>
        </w:rPr>
        <w:t>Streamlit</w:t>
      </w:r>
      <w:proofErr w:type="spellEnd"/>
      <w:r w:rsidRPr="009A62BC">
        <w:rPr>
          <w:rFonts w:ascii="Times New Roman" w:eastAsia="Times New Roman" w:hAnsi="Times New Roman" w:cs="Times New Roman"/>
          <w:sz w:val="24"/>
          <w:szCs w:val="24"/>
          <w:lang w:eastAsia="es-VE"/>
        </w:rPr>
        <w:t>.</w:t>
      </w:r>
    </w:p>
    <w:p w14:paraId="05CA1E68" w14:textId="77777777" w:rsidR="009A62BC" w:rsidRPr="009A62BC" w:rsidRDefault="009A62BC" w:rsidP="009A62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9A62BC">
        <w:rPr>
          <w:rFonts w:ascii="Times New Roman" w:eastAsia="Times New Roman" w:hAnsi="Times New Roman" w:cs="Times New Roman"/>
          <w:b/>
          <w:bCs/>
          <w:sz w:val="24"/>
          <w:szCs w:val="24"/>
          <w:lang w:eastAsia="es-VE"/>
        </w:rPr>
        <w:t>R:</w:t>
      </w:r>
      <w:r w:rsidRPr="009A62BC">
        <w:rPr>
          <w:rFonts w:ascii="Times New Roman" w:eastAsia="Times New Roman" w:hAnsi="Times New Roman" w:cs="Times New Roman"/>
          <w:sz w:val="24"/>
          <w:szCs w:val="24"/>
          <w:lang w:eastAsia="es-VE"/>
        </w:rPr>
        <w:t xml:space="preserve"> Utilización del ecosistema </w:t>
      </w:r>
      <w:proofErr w:type="spellStart"/>
      <w:r w:rsidRPr="009A62BC">
        <w:rPr>
          <w:rFonts w:ascii="Times New Roman" w:eastAsia="Times New Roman" w:hAnsi="Times New Roman" w:cs="Times New Roman"/>
          <w:b/>
          <w:bCs/>
          <w:sz w:val="24"/>
          <w:szCs w:val="24"/>
          <w:lang w:eastAsia="es-VE"/>
        </w:rPr>
        <w:t>Tidyverse</w:t>
      </w:r>
      <w:proofErr w:type="spellEnd"/>
      <w:r w:rsidRPr="009A62BC">
        <w:rPr>
          <w:rFonts w:ascii="Times New Roman" w:eastAsia="Times New Roman" w:hAnsi="Times New Roman" w:cs="Times New Roman"/>
          <w:sz w:val="24"/>
          <w:szCs w:val="24"/>
          <w:lang w:eastAsia="es-VE"/>
        </w:rPr>
        <w:t xml:space="preserve"> y el paquete </w:t>
      </w:r>
      <w:r w:rsidRPr="009A62BC">
        <w:rPr>
          <w:rFonts w:ascii="Times New Roman" w:eastAsia="Times New Roman" w:hAnsi="Times New Roman" w:cs="Times New Roman"/>
          <w:b/>
          <w:bCs/>
          <w:sz w:val="24"/>
          <w:szCs w:val="24"/>
          <w:lang w:eastAsia="es-VE"/>
        </w:rPr>
        <w:t>ggplot2</w:t>
      </w:r>
      <w:r w:rsidRPr="009A62BC">
        <w:rPr>
          <w:rFonts w:ascii="Times New Roman" w:eastAsia="Times New Roman" w:hAnsi="Times New Roman" w:cs="Times New Roman"/>
          <w:sz w:val="24"/>
          <w:szCs w:val="24"/>
          <w:lang w:eastAsia="es-VE"/>
        </w:rPr>
        <w:t>, considerados el estándar académico para la visualización estadística y la gramática de gráficos.</w:t>
      </w:r>
    </w:p>
    <w:p w14:paraId="2153AC34" w14:textId="77777777" w:rsidR="00443EE1" w:rsidRDefault="00443EE1"/>
    <w:sectPr w:rsidR="00443E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0304"/>
    <w:multiLevelType w:val="multilevel"/>
    <w:tmpl w:val="A2B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E67BE"/>
    <w:multiLevelType w:val="multilevel"/>
    <w:tmpl w:val="55B4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6731B"/>
    <w:multiLevelType w:val="multilevel"/>
    <w:tmpl w:val="57C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D5D45"/>
    <w:multiLevelType w:val="multilevel"/>
    <w:tmpl w:val="D7AE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A0362"/>
    <w:multiLevelType w:val="multilevel"/>
    <w:tmpl w:val="F7E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853A4"/>
    <w:multiLevelType w:val="multilevel"/>
    <w:tmpl w:val="E0E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F090F"/>
    <w:multiLevelType w:val="multilevel"/>
    <w:tmpl w:val="54B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77EC1"/>
    <w:multiLevelType w:val="multilevel"/>
    <w:tmpl w:val="27C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7"/>
  </w:num>
  <w:num w:numId="4">
    <w:abstractNumId w:val="2"/>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BC"/>
    <w:rsid w:val="00242381"/>
    <w:rsid w:val="00443EE1"/>
    <w:rsid w:val="009A62B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23A2"/>
  <w15:chartTrackingRefBased/>
  <w15:docId w15:val="{C2F10B2B-AAF5-458F-A262-CC2F36BD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A62BC"/>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9A62BC"/>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A62BC"/>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9A62BC"/>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9A62BC"/>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math-inline">
    <w:name w:val="math-inline"/>
    <w:basedOn w:val="Fuentedeprrafopredeter"/>
    <w:rsid w:val="009A6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05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673</Words>
  <Characters>3707</Characters>
  <Application>Microsoft Office Word</Application>
  <DocSecurity>0</DocSecurity>
  <Lines>30</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Hernandez</dc:creator>
  <cp:keywords/>
  <dc:description/>
  <cp:lastModifiedBy>Rebeca Hernandez</cp:lastModifiedBy>
  <cp:revision>2</cp:revision>
  <dcterms:created xsi:type="dcterms:W3CDTF">2026-04-01T15:33:00Z</dcterms:created>
  <dcterms:modified xsi:type="dcterms:W3CDTF">2026-04-01T16:08:00Z</dcterms:modified>
</cp:coreProperties>
</file>