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444444"/>
          <w:sz w:val="24"/>
          <w:szCs w:val="24"/>
        </w:rPr>
        <w:t xml:space="preserve">UNIVERSIDAD DE SONORA</w:t>
      </w:r>
    </w:p>
    <w:p>
      <w:pPr>
        <w:spacing w:before="0" w:after="40"/>
        <w:jc w:val="center"/>
      </w:pPr>
      <w:r>
        <w:rPr>
          <w:rFonts w:ascii="Arial" w:cs="Arial" w:eastAsia="Arial" w:hAnsi="Arial"/>
          <w:color w:val="666666"/>
          <w:sz w:val="20"/>
          <w:szCs w:val="20"/>
        </w:rPr>
        <w:t xml:space="preserve">Departamento de Psicología y Ciencias de la Comunicación</w:t>
      </w:r>
    </w:p>
    <w:p>
      <w:pPr>
        <w:spacing w:before="0" w:after="40"/>
        <w:jc w:val="center"/>
      </w:pPr>
      <w:r>
        <w:rPr>
          <w:rFonts w:ascii="Arial" w:cs="Arial" w:eastAsia="Arial" w:hAnsi="Arial"/>
          <w:color w:val="666666"/>
          <w:sz w:val="20"/>
          <w:szCs w:val="20"/>
        </w:rPr>
        <w:t xml:space="preserve">Licenciatura en Cultura Física y Deportes</w:t>
      </w:r>
    </w:p>
    <w:p>
      <w:pPr>
        <w:spacing w:before="240" w:after="0"/>
      </w:pPr>
    </w:p>
    <w:p>
      <w:pPr>
        <w:spacing w:before="0" w:after="160"/>
        <w:jc w:val="center"/>
      </w:pPr>
      <w:r>
        <w:rPr>
          <w:rFonts w:ascii="Arial" w:cs="Arial" w:eastAsia="Arial" w:hAnsi="Arial"/>
          <w:b/>
          <w:bCs/>
          <w:sz w:val="34"/>
          <w:szCs w:val="34"/>
        </w:rPr>
        <w:t xml:space="preserve">Caracterización de la vida escolar</w:t>
      </w:r>
    </w:p>
    <w:p>
      <w:pPr>
        <w:spacing w:before="0" w:after="80"/>
        <w:jc w:val="center"/>
      </w:pPr>
      <w:r>
        <w:rPr>
          <w:rFonts w:ascii="Arial" w:cs="Arial" w:eastAsia="Arial" w:hAnsi="Arial"/>
          <w:b/>
          <w:bCs/>
          <w:sz w:val="34"/>
          <w:szCs w:val="34"/>
        </w:rPr>
        <w:t xml:space="preserve">en escuelas primarias de Sonora</w:t>
      </w:r>
    </w:p>
    <w:p>
      <w:pPr>
        <w:spacing w:before="0" w:after="80"/>
        <w:jc w:val="center"/>
      </w:pPr>
      <w:r>
        <w:rPr>
          <w:rFonts w:ascii="Arial" w:cs="Arial" w:eastAsia="Arial" w:hAnsi="Arial"/>
          <w:color w:val="444444"/>
          <w:sz w:val="24"/>
          <w:szCs w:val="24"/>
        </w:rPr>
        <w:t xml:space="preserve">Estudio comparativo en contextos urbano, fronterizo e indígena</w:t>
      </w:r>
    </w:p>
    <w:p>
      <w:pPr>
        <w:spacing w:before="160" w:after="0"/>
      </w:pPr>
    </w:p>
    <w:p>
      <w:pPr>
        <w:spacing w:before="0" w:after="80"/>
        <w:jc w:val="center"/>
      </w:pPr>
      <w:r>
        <w:rPr>
          <w:rFonts w:ascii="Arial" w:cs="Arial" w:eastAsia="Arial" w:hAnsi="Arial"/>
          <w:i/>
          <w:iCs/>
          <w:color w:val="666666"/>
          <w:sz w:val="22"/>
          <w:szCs w:val="22"/>
        </w:rPr>
        <w:t xml:space="preserve">Documento de trabajo interno del equipo de investigación</w:t>
      </w:r>
    </w:p>
    <w:p>
      <w:pPr>
        <w:spacing w:before="240" w:after="0"/>
      </w:pPr>
    </w:p>
    <w:p>
      <w:pPr>
        <w:spacing w:before="0" w:after="60"/>
        <w:jc w:val="center"/>
      </w:pPr>
      <w:r>
        <w:rPr>
          <w:rFonts w:ascii="Arial" w:cs="Arial" w:eastAsia="Arial" w:hAnsi="Arial"/>
          <w:b/>
          <w:bCs/>
          <w:sz w:val="22"/>
          <w:szCs w:val="22"/>
        </w:rPr>
        <w:t xml:space="preserve">Equipo de investigación</w:t>
      </w:r>
    </w:p>
    <w:p>
      <w:pPr>
        <w:spacing w:before="0" w:after="40"/>
        <w:jc w:val="center"/>
      </w:pPr>
      <w:r>
        <w:rPr>
          <w:rFonts w:ascii="Arial" w:cs="Arial" w:eastAsia="Arial" w:hAnsi="Arial"/>
          <w:sz w:val="20"/>
          <w:szCs w:val="20"/>
        </w:rPr>
        <w:t xml:space="preserve">Dra. Ena Romero · Psicología escolar, Universidad de Sonora</w:t>
      </w:r>
    </w:p>
    <w:p>
      <w:pPr>
        <w:spacing w:before="0" w:after="40"/>
        <w:jc w:val="center"/>
      </w:pPr>
      <w:r>
        <w:rPr>
          <w:rFonts w:ascii="Arial" w:cs="Arial" w:eastAsia="Arial" w:hAnsi="Arial"/>
          <w:sz w:val="20"/>
          <w:szCs w:val="20"/>
        </w:rPr>
        <w:t xml:space="preserve">Dr. Mario Horta · Cultura Física y Deportes, Universidad de Sonora</w:t>
      </w:r>
    </w:p>
    <w:p>
      <w:pPr>
        <w:spacing w:before="0" w:after="40"/>
        <w:jc w:val="center"/>
      </w:pPr>
      <w:r>
        <w:rPr>
          <w:rFonts w:ascii="Arial" w:cs="Arial" w:eastAsia="Arial" w:hAnsi="Arial"/>
          <w:sz w:val="20"/>
          <w:szCs w:val="20"/>
        </w:rPr>
        <w:t xml:space="preserve">Carlos Horta · Mtro. en Ciencias Sociales, doctorando en Investigación Social</w:t>
      </w:r>
    </w:p>
    <w:p>
      <w:pPr>
        <w:spacing w:before="0" w:after="40"/>
        <w:jc w:val="center"/>
      </w:pPr>
      <w:r>
        <w:rPr>
          <w:rFonts w:ascii="Arial" w:cs="Arial" w:eastAsia="Arial" w:hAnsi="Arial"/>
          <w:sz w:val="20"/>
          <w:szCs w:val="20"/>
        </w:rPr>
        <w:t xml:space="preserve">Víctor Hugo Horta · Lic. en Cultura Física y Deportes, maestrante, Universidad de Sonora</w:t>
      </w:r>
    </w:p>
    <w:p>
      <w:pPr>
        <w:spacing w:before="200" w:after="0"/>
      </w:pPr>
    </w:p>
    <w:p>
      <w:pPr>
        <w:spacing w:before="0" w:after="0"/>
        <w:jc w:val="center"/>
      </w:pPr>
      <w:r>
        <w:rPr>
          <w:rFonts w:ascii="Arial" w:cs="Arial" w:eastAsia="Arial" w:hAnsi="Arial"/>
          <w:color w:val="666666"/>
          <w:sz w:val="20"/>
          <w:szCs w:val="20"/>
        </w:rPr>
        <w:t xml:space="preserve">Ciclo escolar 2025–2026  ·  Versión de trabajo</w:t>
      </w:r>
    </w:p>
    <w:p>
      <w:r>
        <w:br w:type="page"/>
      </w:r>
    </w:p>
    <w:p>
      <w:pPr>
        <w:pStyle w:val="Heading1"/>
        <w:pBdr>
          <w:bottom w:val="single" w:color="444444" w:sz="6" w:space="2"/>
        </w:pBdr>
        <w:spacing w:before="360" w:after="160"/>
      </w:pPr>
      <w:r>
        <w:rPr>
          <w:rFonts w:ascii="Arial" w:cs="Arial" w:eastAsia="Arial" w:hAnsi="Arial"/>
          <w:b/>
          <w:bCs/>
          <w:sz w:val="28"/>
          <w:szCs w:val="28"/>
        </w:rPr>
        <w:t xml:space="preserve">1. Presentación del proyecto</w:t>
      </w:r>
    </w:p>
    <w:p>
      <w:pPr>
        <w:spacing w:before="80" w:after="120" w:line="276"/>
        <w:jc w:val="both"/>
      </w:pPr>
      <w:r>
        <w:rPr>
          <w:rFonts w:ascii="Arial" w:cs="Arial" w:eastAsia="Arial" w:hAnsi="Arial"/>
          <w:b w:val="false"/>
          <w:bCs w:val="false"/>
          <w:i w:val="false"/>
          <w:iCs w:val="false"/>
          <w:color w:val="000000"/>
          <w:sz w:val="22"/>
          <w:szCs w:val="22"/>
        </w:rPr>
        <w:t xml:space="preserve">Este documento describe el diseño, los objetivos, los instrumentos y la operación del proyecto de caracterización de la vida escolar en escuelas primarias de Sonora. El proyecto tiene su origen en la investigación doctoral de la Dra. Ena Romero sobre condición física y bienestar en escolares sonorenses, y representa una expansión hacia un diseño comparativo entre tres contextos contrastantes: urbano (Hermosillo), fronterizo (Naco/Nogales) e indígena (Poblado Miguel Alemán).</w:t>
      </w:r>
    </w:p>
    <w:p>
      <w:pPr>
        <w:spacing w:before="80" w:after="120" w:line="276"/>
        <w:jc w:val="both"/>
      </w:pPr>
      <w:r>
        <w:rPr>
          <w:rFonts w:ascii="Arial" w:cs="Arial" w:eastAsia="Arial" w:hAnsi="Arial"/>
          <w:b w:val="false"/>
          <w:bCs w:val="false"/>
          <w:i w:val="false"/>
          <w:iCs w:val="false"/>
          <w:color w:val="000000"/>
          <w:sz w:val="22"/>
          <w:szCs w:val="22"/>
        </w:rPr>
        <w:t xml:space="preserve">El equipo integra tres perspectivas complementarias: la perspectiva físico-biomédica a cargo del Dr. Mario Horta y Víctor Hugo Horta, la perspectiva de bienestar y salud escolar a cargo de la Dra. Ena Romero, y la perspectiva sociocultural y de contexto a cargo de Carlos Horta, quien se incorpora como colaborador del equipo para ampliar la comprensión del entorno en que ocurren los fenómenos medidos.</w:t>
      </w:r>
    </w:p>
    <w:p>
      <w:pPr>
        <w:spacing w:before="80" w:after="120" w:line="276"/>
        <w:jc w:val="both"/>
      </w:pPr>
      <w:r>
        <w:rPr>
          <w:rFonts w:ascii="Arial" w:cs="Arial" w:eastAsia="Arial" w:hAnsi="Arial"/>
          <w:b w:val="false"/>
          <w:bCs w:val="false"/>
          <w:i w:val="false"/>
          <w:iCs w:val="false"/>
          <w:color w:val="000000"/>
          <w:sz w:val="22"/>
          <w:szCs w:val="22"/>
        </w:rPr>
        <w:t xml:space="preserve">El diseño es de carácter descriptivo-comparativo. No se trata de un estudio de intervención. El propósito es caracterizar lo que ocurre naturalmente en cada escuela y comparar los patrones entre contextos. Los resultados alimentarán publicaciones académicas y recomendaciones de política educativa para la SEP.</w:t>
      </w:r>
    </w:p>
    <w:p>
      <w:pPr>
        <w:pStyle w:val="Heading1"/>
        <w:pBdr>
          <w:bottom w:val="single" w:color="444444" w:sz="6" w:space="2"/>
        </w:pBdr>
        <w:spacing w:before="360" w:after="160"/>
      </w:pPr>
      <w:r>
        <w:rPr>
          <w:rFonts w:ascii="Arial" w:cs="Arial" w:eastAsia="Arial" w:hAnsi="Arial"/>
          <w:b/>
          <w:bCs/>
          <w:sz w:val="28"/>
          <w:szCs w:val="28"/>
        </w:rPr>
        <w:t xml:space="preserve">2. Antecedentes y justificación</w:t>
      </w:r>
    </w:p>
    <w:p>
      <w:pPr>
        <w:spacing w:before="80" w:after="120" w:line="276"/>
        <w:jc w:val="both"/>
      </w:pPr>
      <w:r>
        <w:rPr>
          <w:rFonts w:ascii="Arial" w:cs="Arial" w:eastAsia="Arial" w:hAnsi="Arial"/>
          <w:b w:val="false"/>
          <w:bCs w:val="false"/>
          <w:i w:val="false"/>
          <w:iCs w:val="false"/>
          <w:color w:val="000000"/>
          <w:sz w:val="22"/>
          <w:szCs w:val="22"/>
        </w:rPr>
        <w:t xml:space="preserve">El proyecto se construye directamente sobre la tesis doctoral de la Dra. Ena Romero (León, 2015), que estudió los efectos de un programa de ejercicio físico sobre la composición corporal e imagen corporal en 119 niños y niñas de 8 a 11 años con sobrepeso u obesidad, pertenecientes a escuelas primarias de tres comunidades de Sonora: urbana, rural y fronteriza.</w:t>
      </w:r>
    </w:p>
    <w:p>
      <w:pPr>
        <w:spacing w:before="80" w:after="120" w:line="276"/>
        <w:jc w:val="both"/>
      </w:pPr>
      <w:r>
        <w:rPr>
          <w:rFonts w:ascii="Arial" w:cs="Arial" w:eastAsia="Arial" w:hAnsi="Arial"/>
          <w:b w:val="false"/>
          <w:bCs w:val="false"/>
          <w:i w:val="false"/>
          <w:iCs w:val="false"/>
          <w:color w:val="000000"/>
          <w:sz w:val="22"/>
          <w:szCs w:val="22"/>
        </w:rPr>
        <w:t xml:space="preserve">Los hallazgos de esa investigación fueron significativos: aunque el programa de ejercicio de 40 sesiones no produjo cambios en el IMC ni en la condición física general, sí generó una mejora clara y consistente en la autoimagen de los niños, independientemente de su edad y sexo. Este resultado abrió preguntas importantes que el diseño de intervención original no podía responder: ¿qué condiciones del entorno escolar y comunitario favorecen o dificultan la actividad física y el bienestar de los niños más allá de un programa específico? ¿Cómo funcionan esas escuelas en su vida cotidiana?</w:t>
      </w:r>
    </w:p>
    <w:p>
      <w:pPr>
        <w:spacing w:before="80" w:after="120" w:line="276"/>
        <w:jc w:val="both"/>
      </w:pPr>
      <w:r>
        <w:rPr>
          <w:rFonts w:ascii="Arial" w:cs="Arial" w:eastAsia="Arial" w:hAnsi="Arial"/>
          <w:b w:val="false"/>
          <w:bCs w:val="false"/>
          <w:i w:val="false"/>
          <w:iCs w:val="false"/>
          <w:color w:val="000000"/>
          <w:sz w:val="22"/>
          <w:szCs w:val="22"/>
        </w:rPr>
        <w:t xml:space="preserve">El presente proyecto retoma esas preguntas pero con un diseño radicalmente diferente: en lugar de intervenir, se propone observar y caracterizar. Sin grupo experimental ni control, sin programa de ejercicio. El objetivo es describir cómo son esas escuelas — su infraestructura, su convivencia, sus dinámicas de actividad física y alimentación — y comparar esos perfiles entre tres contextos contrastantes, incluyendo ahora una comunidad indígena (Poblado Miguel Alemán) que amplía el alcance comparativo de la investigación original.</w:t>
      </w:r>
    </w:p>
    <w:p>
      <w:pPr>
        <w:spacing w:before="80" w:after="120" w:line="276"/>
        <w:jc w:val="both"/>
      </w:pPr>
      <w:r>
        <w:rPr>
          <w:rFonts w:ascii="Arial" w:cs="Arial" w:eastAsia="Arial" w:hAnsi="Arial"/>
          <w:b w:val="false"/>
          <w:bCs w:val="false"/>
          <w:i/>
          <w:iCs/>
          <w:color w:val="000000"/>
          <w:sz w:val="22"/>
          <w:szCs w:val="22"/>
        </w:rPr>
        <w:t xml:space="preserve">Nota sobre la categorización de contextos: la tesis doctoral de la Dra. Romero (2015) denominó al Poblado Miguel Alemán como comunidad 'rural'. En el presente proyecto se adopta la categoría 'indígena', que resulta más precisa: según el Censo de Población y Vivienda 2020 del INEGI, la localidad cuenta con aproximadamente 35,000 habitantes, lo que la excluye de la definición estadística de localidad rural (menos de 2,500 hab.). Lo que define a esta comunidad como contexto diferenciado no es su tamaño sino su pertenencia al pueblo yaqui, con identidad cultural, lengua y formas de organización comunitaria propias.</w:t>
      </w:r>
    </w:p>
    <w:p>
      <w:pPr>
        <w:spacing w:before="80" w:after="120" w:line="276"/>
        <w:jc w:val="both"/>
      </w:pPr>
      <w:r>
        <w:rPr>
          <w:rFonts w:ascii="Arial" w:cs="Arial" w:eastAsia="Arial" w:hAnsi="Arial"/>
          <w:b w:val="false"/>
          <w:bCs w:val="false"/>
          <w:i w:val="false"/>
          <w:iCs w:val="false"/>
          <w:color w:val="000000"/>
          <w:sz w:val="22"/>
          <w:szCs w:val="22"/>
        </w:rPr>
        <w:t xml:space="preserve">La incorporación de Carlos Horta al equipo aporta las herramientas metodológicas para capturar esas condiciones de contexto — normas de convivencia, uso del espacio escolar, prácticas de alimentación, redes sociales entre pares — que los instrumentos biomédicos y psicológicos no registran por sí solos, y que son fundamentales para interpretar los perfiles individuales que Mario, Víctor y Ena medirán.</w:t>
      </w:r>
    </w:p>
    <w:p>
      <w:pPr>
        <w:pStyle w:val="Heading2"/>
        <w:spacing w:before="240" w:after="120"/>
      </w:pPr>
      <w:r>
        <w:rPr>
          <w:rFonts w:ascii="Arial" w:cs="Arial" w:eastAsia="Arial" w:hAnsi="Arial"/>
          <w:b/>
          <w:bCs/>
          <w:sz w:val="24"/>
          <w:szCs w:val="24"/>
        </w:rPr>
        <w:t xml:space="preserve">Preguntas de investigación</w:t>
      </w:r>
    </w:p>
    <w:p>
      <w:pPr>
        <w:pStyle w:val="ListParagraph"/>
        <w:numPr>
          <w:ilvl w:val="0"/>
          <w:numId w:val="2"/>
        </w:numPr>
        <w:spacing w:before="60" w:after="60"/>
      </w:pPr>
      <w:r>
        <w:rPr>
          <w:rFonts w:ascii="Arial" w:cs="Arial" w:eastAsia="Arial" w:hAnsi="Arial"/>
          <w:sz w:val="22"/>
          <w:szCs w:val="22"/>
        </w:rPr>
        <w:t xml:space="preserve">¿Cómo se caracteriza la condición física, el bienestar y la convivencia escolar en primarias de Sonora en tres contextos distintos?</w:t>
      </w:r>
    </w:p>
    <w:p>
      <w:pPr>
        <w:pStyle w:val="ListParagraph"/>
        <w:numPr>
          <w:ilvl w:val="0"/>
          <w:numId w:val="2"/>
        </w:numPr>
        <w:spacing w:before="60" w:after="60"/>
      </w:pPr>
      <w:r>
        <w:rPr>
          <w:rFonts w:ascii="Arial" w:cs="Arial" w:eastAsia="Arial" w:hAnsi="Arial"/>
          <w:sz w:val="22"/>
          <w:szCs w:val="22"/>
        </w:rPr>
        <w:t xml:space="preserve">¿Qué diferencias existen entre los contextos urbano, fronterizo e indígena en términos de condición física, calidad de vida y dinámicas de convivencia?</w:t>
      </w:r>
    </w:p>
    <w:p>
      <w:pPr>
        <w:pStyle w:val="ListParagraph"/>
        <w:numPr>
          <w:ilvl w:val="0"/>
          <w:numId w:val="2"/>
        </w:numPr>
        <w:spacing w:before="60" w:after="60"/>
      </w:pPr>
      <w:r>
        <w:rPr>
          <w:rFonts w:ascii="Arial" w:cs="Arial" w:eastAsia="Arial" w:hAnsi="Arial"/>
          <w:sz w:val="22"/>
          <w:szCs w:val="22"/>
        </w:rPr>
        <w:t xml:space="preserve">¿Qué condiciones del entorno escolar y comunitario explican las diferencias observadas entre contextos?</w:t>
      </w:r>
    </w:p>
    <w:p>
      <w:pPr>
        <w:pStyle w:val="Heading1"/>
        <w:pBdr>
          <w:bottom w:val="single" w:color="444444" w:sz="6" w:space="2"/>
        </w:pBdr>
        <w:spacing w:before="360" w:after="160"/>
      </w:pPr>
      <w:r>
        <w:rPr>
          <w:rFonts w:ascii="Arial" w:cs="Arial" w:eastAsia="Arial" w:hAnsi="Arial"/>
          <w:b/>
          <w:bCs/>
          <w:sz w:val="28"/>
          <w:szCs w:val="28"/>
        </w:rPr>
        <w:t xml:space="preserve">3. Marco conceptual</w:t>
      </w:r>
    </w:p>
    <w:p>
      <w:pPr>
        <w:pStyle w:val="Heading2"/>
        <w:spacing w:before="240" w:after="120"/>
      </w:pPr>
      <w:r>
        <w:rPr>
          <w:rFonts w:ascii="Arial" w:cs="Arial" w:eastAsia="Arial" w:hAnsi="Arial"/>
          <w:b/>
          <w:bCs/>
          <w:sz w:val="24"/>
          <w:szCs w:val="24"/>
        </w:rPr>
        <w:t xml:space="preserve">Modelo socioecológico multinivel</w:t>
      </w:r>
    </w:p>
    <w:p>
      <w:pPr>
        <w:spacing w:before="80" w:after="120" w:line="276"/>
        <w:jc w:val="both"/>
      </w:pPr>
      <w:r>
        <w:rPr>
          <w:rFonts w:ascii="Arial" w:cs="Arial" w:eastAsia="Arial" w:hAnsi="Arial"/>
          <w:b w:val="false"/>
          <w:bCs w:val="false"/>
          <w:i w:val="false"/>
          <w:iCs w:val="false"/>
          <w:color w:val="000000"/>
          <w:sz w:val="22"/>
          <w:szCs w:val="22"/>
        </w:rPr>
        <w:t xml:space="preserve">El proyecto adopta un modelo socioecológico multinivel como marco integrador de las tres perspectivas del equipo. Este modelo organiza los factores que influyen en la vida escolar en cinco niveles: el nivel político (regulaciones SEP, currículo de Educación Física), el nivel comunitario (oferta alimentaria, tradiciones locales, contexto económico), el nivel organizacional (infraestructura escolar, reglas y prácticas docentes), el nivel interpersonal (redes de pares, prácticas familiares), y el nivel individual (condición física, bienestar, conductas).</w:t>
      </w:r>
    </w:p>
    <w:p>
      <w:pPr>
        <w:spacing w:before="80" w:after="120" w:line="276"/>
        <w:jc w:val="both"/>
      </w:pPr>
      <w:r>
        <w:rPr>
          <w:rFonts w:ascii="Arial" w:cs="Arial" w:eastAsia="Arial" w:hAnsi="Arial"/>
          <w:b w:val="false"/>
          <w:bCs w:val="false"/>
          <w:i w:val="false"/>
          <w:iCs w:val="false"/>
          <w:color w:val="000000"/>
          <w:sz w:val="22"/>
          <w:szCs w:val="22"/>
        </w:rPr>
        <w:t xml:space="preserve">Este modelo permite articular claramente las tres contribuciones: el Dr. Mario Horta y Víctor Hugo Horta miden el nivel individual desde la condición física y la competencia motriz; la Dra. Ena Romero mide bienestar, actitudes y calidad de vida; Carlos Horta analiza los niveles organizacional, interpersonal y comunitario para contextualizar los resultados de sus colegas.</w:t>
      </w:r>
    </w:p>
    <w:p>
      <w:pPr>
        <w:pStyle w:val="Heading2"/>
        <w:spacing w:before="240" w:after="120"/>
      </w:pPr>
      <w:r>
        <w:rPr>
          <w:rFonts w:ascii="Arial" w:cs="Arial" w:eastAsia="Arial" w:hAnsi="Arial"/>
          <w:b/>
          <w:bCs/>
          <w:sz w:val="24"/>
          <w:szCs w:val="24"/>
        </w:rPr>
        <w:t xml:space="preserve">Enfoque de complejidad aplicado al contexto escolar</w:t>
      </w:r>
    </w:p>
    <w:p>
      <w:pPr>
        <w:spacing w:before="80" w:after="120" w:line="276"/>
        <w:jc w:val="both"/>
      </w:pPr>
      <w:r>
        <w:rPr>
          <w:rFonts w:ascii="Arial" w:cs="Arial" w:eastAsia="Arial" w:hAnsi="Arial"/>
          <w:b w:val="false"/>
          <w:bCs w:val="false"/>
          <w:i w:val="false"/>
          <w:iCs w:val="false"/>
          <w:color w:val="000000"/>
          <w:sz w:val="22"/>
          <w:szCs w:val="22"/>
        </w:rPr>
        <w:t xml:space="preserve">La dimensión sociocultural del proyecto incorpora conceptos de la teoría de sistemas complejos para entender las escuelas como entornos donde los patrones de conducta emergen de la interacción entre múltiples factores situados. Esta perspectiva, desarrollada en el marco del doctorado en Investigación Social desde la Complejidad de Carlos Horta, permite identificar los factores que estabilizan ciertos patrones de uso del espacio, convivencia y alimentación en cada escuela, y explicar por qué esos patrones difieren entre contextos.</w:t>
      </w:r>
    </w:p>
    <w:p>
      <w:pPr>
        <w:pStyle w:val="Heading1"/>
        <w:pBdr>
          <w:bottom w:val="single" w:color="444444" w:sz="6" w:space="2"/>
        </w:pBdr>
        <w:spacing w:before="360" w:after="160"/>
      </w:pPr>
      <w:r>
        <w:rPr>
          <w:rFonts w:ascii="Arial" w:cs="Arial" w:eastAsia="Arial" w:hAnsi="Arial"/>
          <w:b/>
          <w:bCs/>
          <w:sz w:val="28"/>
          <w:szCs w:val="28"/>
        </w:rPr>
        <w:t xml:space="preserve">4. Diseño metodológico</w:t>
      </w:r>
    </w:p>
    <w:p>
      <w:pPr>
        <w:pStyle w:val="Heading2"/>
        <w:spacing w:before="240" w:after="120"/>
      </w:pPr>
      <w:r>
        <w:rPr>
          <w:rFonts w:ascii="Arial" w:cs="Arial" w:eastAsia="Arial" w:hAnsi="Arial"/>
          <w:b/>
          <w:bCs/>
          <w:sz w:val="24"/>
          <w:szCs w:val="24"/>
        </w:rPr>
        <w:t xml:space="preserve">Tipo de estudio</w:t>
      </w:r>
    </w:p>
    <w:p>
      <w:pPr>
        <w:spacing w:before="80" w:after="120" w:line="276"/>
        <w:jc w:val="both"/>
      </w:pPr>
      <w:r>
        <w:rPr>
          <w:rFonts w:ascii="Arial" w:cs="Arial" w:eastAsia="Arial" w:hAnsi="Arial"/>
          <w:b w:val="false"/>
          <w:bCs w:val="false"/>
          <w:i w:val="false"/>
          <w:iCs w:val="false"/>
          <w:color w:val="000000"/>
          <w:sz w:val="22"/>
          <w:szCs w:val="22"/>
        </w:rPr>
        <w:t xml:space="preserve">Estudio descriptivo-comparativo de corte transversal. Sin intervención. La comparación entre los tres contextos es el eje analítico central del proyecto.</w:t>
      </w:r>
    </w:p>
    <w:p>
      <w:pPr>
        <w:pStyle w:val="Heading2"/>
        <w:spacing w:before="240" w:after="120"/>
      </w:pPr>
      <w:r>
        <w:rPr>
          <w:rFonts w:ascii="Arial" w:cs="Arial" w:eastAsia="Arial" w:hAnsi="Arial"/>
          <w:b/>
          <w:bCs/>
          <w:sz w:val="24"/>
          <w:szCs w:val="24"/>
        </w:rPr>
        <w:t xml:space="preserve">Contextos y escuelas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Contexto</w:t>
            </w:r>
          </w:p>
        </w:tc>
        <w:tc>
          <w:tcPr>
            <w:tcW w:type="dxa" w:w="250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Ubicación</w:t>
            </w:r>
          </w:p>
        </w:tc>
        <w:tc>
          <w:tcPr>
            <w:tcW w:type="dxa" w:w="486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Características principales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Urbano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Hermosillo</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Escuela pública urbana, acceso a tiendita y oferta alimentaria diversa</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Fronterizo</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Naco / Nogales</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Comunidad binacional, influencia cultural y económica de EUA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Indígena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Pob. Miguel Alemán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Comunidad yaqui (35,000 hab., Censo 2020), identidad cultural, lengua y organización comunitaria propias. Se clasifica como indígena y no como rural: supera ampliamente el umbral de 2,500 hab. del INEGI. Coordinadora local: Zoila.</w:t>
            </w:r>
          </w:p>
        </w:tc>
      </w:tr>
    </w:tbl>
    <w:p>
      <w:pPr>
        <w:pStyle w:val="Heading2"/>
        <w:spacing w:before="240" w:after="120"/>
      </w:pPr>
      <w:r>
        <w:rPr>
          <w:rFonts w:ascii="Arial" w:cs="Arial" w:eastAsia="Arial" w:hAnsi="Arial"/>
          <w:b/>
          <w:bCs/>
          <w:sz w:val="24"/>
          <w:szCs w:val="24"/>
        </w:rPr>
        <w:t xml:space="preserve">Población y muestra</w:t>
      </w:r>
    </w:p>
    <w:p>
      <w:pPr>
        <w:spacing w:before="80" w:after="120" w:line="276"/>
        <w:jc w:val="both"/>
      </w:pPr>
      <w:r>
        <w:rPr>
          <w:rFonts w:ascii="Arial" w:cs="Arial" w:eastAsia="Arial" w:hAnsi="Arial"/>
          <w:b w:val="false"/>
          <w:bCs w:val="false"/>
          <w:i w:val="false"/>
          <w:iCs w:val="false"/>
          <w:color w:val="000000"/>
          <w:sz w:val="22"/>
          <w:szCs w:val="22"/>
        </w:rPr>
        <w:t xml:space="preserve">La investigación se enfoca en alumnos de 3° a 6° de primaria. Los instrumentos dirigidos a niños tienen dos versiones según edad: aplicada por docente para 3° y 4°, y autoaplicada para 5° y 6°. Los grados 1° y 2° quedan fuera de los instrumentos para niños por razones de desarrollo cognitivo, pero son cubiertos por la observación docente.</w:t>
      </w:r>
    </w:p>
    <w:p>
      <w:pPr>
        <w:spacing w:before="80" w:after="120" w:line="276"/>
        <w:jc w:val="both"/>
      </w:pPr>
      <w:r>
        <w:rPr>
          <w:rFonts w:ascii="Arial" w:cs="Arial" w:eastAsia="Arial" w:hAnsi="Arial"/>
          <w:b w:val="false"/>
          <w:bCs w:val="false"/>
          <w:i w:val="false"/>
          <w:iCs w:val="false"/>
          <w:color w:val="000000"/>
          <w:sz w:val="22"/>
          <w:szCs w:val="22"/>
        </w:rPr>
        <w:t xml:space="preserve">Se incluyen también docentes (un docente colaborador por grupo como observador e informante), familias (muestra intencional de 8-12 familias por escuela para encuesta), y el director o coordinador de cada escuela para la ficha de contexto.</w:t>
      </w:r>
    </w:p>
    <w:p>
      <w:pPr>
        <w:pStyle w:val="Heading2"/>
        <w:spacing w:before="240" w:after="120"/>
      </w:pPr>
      <w:r>
        <w:rPr>
          <w:rFonts w:ascii="Arial" w:cs="Arial" w:eastAsia="Arial" w:hAnsi="Arial"/>
          <w:b/>
          <w:bCs/>
          <w:sz w:val="24"/>
          <w:szCs w:val="24"/>
        </w:rPr>
        <w:t xml:space="preserve">Consideraciones éticas</w:t>
      </w:r>
    </w:p>
    <w:p>
      <w:pPr>
        <w:spacing w:before="80" w:after="120" w:line="276"/>
        <w:jc w:val="both"/>
      </w:pPr>
      <w:r>
        <w:rPr>
          <w:rFonts w:ascii="Arial" w:cs="Arial" w:eastAsia="Arial" w:hAnsi="Arial"/>
          <w:b w:val="false"/>
          <w:bCs w:val="false"/>
          <w:i w:val="false"/>
          <w:iCs w:val="false"/>
          <w:color w:val="000000"/>
          <w:sz w:val="22"/>
          <w:szCs w:val="22"/>
        </w:rPr>
        <w:t xml:space="preserve">El proyecto opera bajo los protocolos éticos establecidos para investigación con menores de edad en instituciones educativas públicas. Se requiere aval del comité de ética de la Universidad de Sonora — gestión a cargo de la Dra. Ena Romero y el Dr. Mario Horta como investigadores titulares. El protocolo incluye carta de consentimiento informado para padres o tutores (una por participante, de carácter general para todo el estudio), y asentimiento verbal del niño al inicio de cada sesión. Ningún instrumento se aplica sin consentimiento previo.</w:t>
      </w:r>
    </w:p>
    <w:p>
      <w:pPr>
        <w:pStyle w:val="Heading1"/>
        <w:pBdr>
          <w:bottom w:val="single" w:color="444444" w:sz="6" w:space="2"/>
        </w:pBdr>
        <w:spacing w:before="360" w:after="160"/>
      </w:pPr>
      <w:r>
        <w:rPr>
          <w:rFonts w:ascii="Arial" w:cs="Arial" w:eastAsia="Arial" w:hAnsi="Arial"/>
          <w:b/>
          <w:bCs/>
          <w:sz w:val="28"/>
          <w:szCs w:val="28"/>
        </w:rPr>
        <w:t xml:space="preserve">5. Las tres dimensiones del proyecto y su integración</w:t>
      </w:r>
    </w:p>
    <w:p>
      <w:pPr>
        <w:spacing w:before="80" w:after="120" w:line="276"/>
        <w:jc w:val="both"/>
      </w:pPr>
      <w:r>
        <w:rPr>
          <w:rFonts w:ascii="Arial" w:cs="Arial" w:eastAsia="Arial" w:hAnsi="Arial"/>
          <w:b w:val="false"/>
          <w:bCs w:val="false"/>
          <w:i w:val="false"/>
          <w:iCs w:val="false"/>
          <w:color w:val="000000"/>
          <w:sz w:val="22"/>
          <w:szCs w:val="22"/>
        </w:rPr>
        <w:t xml:space="preserve">El proyecto se organiza en tres dimensiones complementarias, cada una a cargo de un integrante o subequipo del grupo. Las dimensiones no son independientes — se articulan explícitamente para producir una comprensión integral de cada escuela.</w:t>
      </w:r>
    </w:p>
    <w:p>
      <w:pPr>
        <w:pStyle w:val="Heading2"/>
        <w:spacing w:before="240" w:after="120"/>
      </w:pPr>
      <w:r>
        <w:rPr>
          <w:rFonts w:ascii="Arial" w:cs="Arial" w:eastAsia="Arial" w:hAnsi="Arial"/>
          <w:b/>
          <w:bCs/>
          <w:sz w:val="24"/>
          <w:szCs w:val="24"/>
        </w:rPr>
        <w:t xml:space="preserve">Dimensión física y biomédica — Dr. Mario Horta y Víctor Hugo Horta</w:t>
      </w:r>
    </w:p>
    <w:p>
      <w:pPr>
        <w:spacing w:before="80" w:after="120" w:line="276"/>
        <w:jc w:val="both"/>
      </w:pPr>
      <w:r>
        <w:rPr>
          <w:rFonts w:ascii="Arial" w:cs="Arial" w:eastAsia="Arial" w:hAnsi="Arial"/>
          <w:b w:val="false"/>
          <w:bCs w:val="false"/>
          <w:i w:val="false"/>
          <w:iCs w:val="false"/>
          <w:color w:val="000000"/>
          <w:sz w:val="22"/>
          <w:szCs w:val="22"/>
        </w:rPr>
        <w:t xml:space="preserve">Responde a la pregunta: ¿cuál es la condición física y la competencia motriz de los niños en cada contexto? Los instrumentos incluyen el FitnessGram con siete pruebas estandarizadas, mediciones antropométricas, y evaluación de competencia motriz percibida y real. Esta dimensión aporta los datos cuantitativos de base sobre los que se construye la comparación entre contextos.</w:t>
      </w:r>
    </w:p>
    <w:p>
      <w:pPr>
        <w:pStyle w:val="Heading2"/>
        <w:spacing w:before="240" w:after="120"/>
      </w:pPr>
      <w:r>
        <w:rPr>
          <w:rFonts w:ascii="Arial" w:cs="Arial" w:eastAsia="Arial" w:hAnsi="Arial"/>
          <w:b/>
          <w:bCs/>
          <w:sz w:val="24"/>
          <w:szCs w:val="24"/>
        </w:rPr>
        <w:t xml:space="preserve">Dimensión de bienestar y salud escolar — Dra. Ena Romero</w:t>
      </w:r>
    </w:p>
    <w:p>
      <w:pPr>
        <w:spacing w:before="80" w:after="120" w:line="276"/>
        <w:jc w:val="both"/>
      </w:pPr>
      <w:r>
        <w:rPr>
          <w:rFonts w:ascii="Arial" w:cs="Arial" w:eastAsia="Arial" w:hAnsi="Arial"/>
          <w:b w:val="false"/>
          <w:bCs w:val="false"/>
          <w:i w:val="false"/>
          <w:iCs w:val="false"/>
          <w:color w:val="000000"/>
          <w:sz w:val="22"/>
          <w:szCs w:val="22"/>
        </w:rPr>
        <w:t xml:space="preserve">Responde a la pregunta: ¿cómo se sienten los niños en la escuela y qué actitudes tienen hacia la actividad física? Los instrumentos incluyen el Kid-KINDL (calidad de vida), el C.A.E.F. (actitudes hacia Educación Física), el Cuestionario SIC (satisfacción con imagen corporal), Historia Clínica e Historia del Desarrollo Psicológico. Esta dimensión aporta el perfil de bienestar individual de los participantes.</w:t>
      </w:r>
    </w:p>
    <w:p>
      <w:pPr>
        <w:pStyle w:val="Heading2"/>
        <w:spacing w:before="240" w:after="120"/>
      </w:pPr>
      <w:r>
        <w:rPr>
          <w:rFonts w:ascii="Arial" w:cs="Arial" w:eastAsia="Arial" w:hAnsi="Arial"/>
          <w:b/>
          <w:bCs/>
          <w:sz w:val="24"/>
          <w:szCs w:val="24"/>
        </w:rPr>
        <w:t xml:space="preserve">Dimensión sociocultural y de contexto — Carlos Horta</w:t>
      </w:r>
    </w:p>
    <w:p>
      <w:pPr>
        <w:spacing w:before="80" w:after="120" w:line="276"/>
        <w:jc w:val="both"/>
      </w:pPr>
      <w:r>
        <w:rPr>
          <w:rFonts w:ascii="Arial" w:cs="Arial" w:eastAsia="Arial" w:hAnsi="Arial"/>
          <w:b w:val="false"/>
          <w:bCs w:val="false"/>
          <w:i w:val="false"/>
          <w:iCs w:val="false"/>
          <w:color w:val="000000"/>
          <w:sz w:val="22"/>
          <w:szCs w:val="22"/>
        </w:rPr>
        <w:t xml:space="preserve">Responde a la pregunta: ¿en qué condiciones ocurre todo lo anterior y qué factores del entorno lo explican? Esta dimensión se organiza en cuatro rubros temáticos: convivencia y dinámicas entre pares, prácticas de alimentación escolar, uso del espacio y patrones de recreo, y contexto escolar-familiar-comunitario. Los instrumentos incluyen cuestionarios para niños, observaciones de recreo, mapas del patio, entrevistas a docentes y familias, y fichas de contexto escolar.</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60" w:after="60"/>
            </w:pPr>
            <w:r>
              <w:rPr>
                <w:rFonts w:ascii="Arial" w:cs="Arial" w:eastAsia="Arial" w:hAnsi="Arial"/>
                <w:b/>
                <w:bCs/>
                <w:i w:val="false"/>
                <w:iCs w:val="false"/>
                <w:sz w:val="22"/>
                <w:szCs w:val="22"/>
              </w:rPr>
              <w:t xml:space="preserve">La lógica de integración:</w:t>
            </w:r>
          </w:p>
          <w:p>
            <w:pPr>
              <w:spacing w:before="60" w:after="60"/>
            </w:pPr>
            <w:r>
              <w:rPr>
                <w:rFonts w:ascii="Arial" w:cs="Arial" w:eastAsia="Arial" w:hAnsi="Arial"/>
                <w:b w:val="false"/>
                <w:bCs w:val="false"/>
                <w:i/>
                <w:iCs/>
                <w:sz w:val="22"/>
                <w:szCs w:val="22"/>
              </w:rPr>
              <w:t xml:space="preserve">Mario y Víctor responden ¿qué nivel de condición física?   Ena responde ¿cómo se siente y qué actitud tiene?   Carlos responde ¿en qué contexto ocurre y qué lo explica?</w:t>
            </w:r>
          </w:p>
          <w:p>
            <w:pPr>
              <w:spacing w:before="60" w:after="60"/>
            </w:pPr>
            <w:r>
              <w:rPr>
                <w:rFonts w:ascii="Arial" w:cs="Arial" w:eastAsia="Arial" w:hAnsi="Arial"/>
                <w:b w:val="false"/>
                <w:bCs w:val="false"/>
                <w:i w:val="false"/>
                <w:iCs w:val="false"/>
                <w:sz w:val="22"/>
                <w:szCs w:val="22"/>
              </w:rPr>
              <w:t xml:space="preserve">Sin la dimensión de contexto, los datos físicos y de bienestar no pueden interpretarse comparativamente entre escuelas.</w:t>
            </w:r>
          </w:p>
        </w:tc>
      </w:tr>
    </w:tbl>
    <w:p>
      <w:pPr>
        <w:pStyle w:val="Heading1"/>
        <w:pBdr>
          <w:bottom w:val="single" w:color="444444" w:sz="6" w:space="2"/>
        </w:pBdr>
        <w:spacing w:before="360" w:after="160"/>
      </w:pPr>
      <w:r>
        <w:rPr>
          <w:rFonts w:ascii="Arial" w:cs="Arial" w:eastAsia="Arial" w:hAnsi="Arial"/>
          <w:b/>
          <w:bCs/>
          <w:sz w:val="28"/>
          <w:szCs w:val="28"/>
        </w:rPr>
        <w:t xml:space="preserve">6. Instrumentos por grupo de edad y responsable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Instrumento</w:t>
            </w:r>
          </w:p>
        </w:tc>
        <w:tc>
          <w:tcPr>
            <w:tcW w:type="dxa" w:w="220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Grados</w:t>
            </w:r>
          </w:p>
        </w:tc>
        <w:tc>
          <w:tcPr>
            <w:tcW w:type="dxa" w:w="220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Quién aplica</w:t>
            </w:r>
          </w:p>
        </w:tc>
        <w:tc>
          <w:tcPr>
            <w:tcW w:type="dxa" w:w="276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Momento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Cuestionario niños (convivencia, viñetas, lunch, sociograma)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 a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Docente del grupo</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Un día de clase, 25-30 min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Instrumento reglas situadas — Versión A (tarjetas)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3° y 4°</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Docente del grupo</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Día 2, tras recreo, 10-12 min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Instrumento reglas situadas — Versión B (escrito)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 y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Autoaplicado</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Día 2, en clase, 15 min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Mapa del patio (actividad de dibujo)</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3° a 6°</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Docente del grupo</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Día 2, en clase, 20 min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Checklist observación recreo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Todos los grados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Docente del grupo</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Día 1, durante recreo, 15 min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Checklist observación lunch</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Todos los grados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Docente del grupo</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Día 1, durante recreo, 10 min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Entrevista a docente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Equipo de investigación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Una vez por escuela, 10-15 min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Ficha contexto escolar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Director / coordinador</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Una vez por escuela, 15 min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FitnessGram + antropometría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 a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Mario / Víctor / maestro EF</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Sesión EF, 45-60 min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C.A.E.F. (actitudes hacia EF)</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3° a 6°</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Ena / docente colaborador</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En clase, 20-25 min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Kid-KINDL (calidad de vida)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 a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Ena / docente colaborador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 clase, 20-25 min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Historia clínica + desarrollo psicológico</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Familias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Ena / coordinador local</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 padres, 15-20 min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Encuesta a familias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Familias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Coordinador local / docente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Autoaplicada, 15 min</w:t>
            </w:r>
          </w:p>
        </w:tc>
      </w:tr>
    </w:tbl>
    <w:p>
      <w:pPr>
        <w:pStyle w:val="Heading1"/>
        <w:pBdr>
          <w:bottom w:val="single" w:color="444444" w:sz="6" w:space="2"/>
        </w:pBdr>
        <w:spacing w:before="360" w:after="160"/>
      </w:pPr>
      <w:r>
        <w:rPr>
          <w:rFonts w:ascii="Arial" w:cs="Arial" w:eastAsia="Arial" w:hAnsi="Arial"/>
          <w:b/>
          <w:bCs/>
          <w:sz w:val="28"/>
          <w:szCs w:val="28"/>
        </w:rPr>
        <w:t xml:space="preserve">7. Coordinación remota y roles de campo</w:t>
      </w:r>
    </w:p>
    <w:p>
      <w:pPr>
        <w:spacing w:before="80" w:after="120" w:line="276"/>
        <w:jc w:val="both"/>
      </w:pPr>
      <w:r>
        <w:rPr>
          <w:rFonts w:ascii="Arial" w:cs="Arial" w:eastAsia="Arial" w:hAnsi="Arial"/>
          <w:b w:val="false"/>
          <w:bCs w:val="false"/>
          <w:i w:val="false"/>
          <w:iCs w:val="false"/>
          <w:color w:val="000000"/>
          <w:sz w:val="22"/>
          <w:szCs w:val="22"/>
        </w:rPr>
        <w:t xml:space="preserve">El proyecto opera bajo un modelo de coordinación remota, con coordinadores locales en cada escuela que gestionan la aplicación de instrumentos en campo. El equipo de investigación coordina desde sus instituciones y realiza visitas puntuales de validación.</w:t>
      </w:r>
    </w:p>
    <w:p>
      <w:pPr>
        <w:pStyle w:val="Heading2"/>
        <w:spacing w:before="240" w:after="120"/>
      </w:pPr>
      <w:r>
        <w:rPr>
          <w:rFonts w:ascii="Arial" w:cs="Arial" w:eastAsia="Arial" w:hAnsi="Arial"/>
          <w:b/>
          <w:bCs/>
          <w:sz w:val="24"/>
          <w:szCs w:val="24"/>
        </w:rPr>
        <w:t xml:space="preserve">Roles</w:t>
      </w:r>
    </w:p>
    <w:p>
      <w:pPr>
        <w:pStyle w:val="ListParagraph"/>
        <w:numPr>
          <w:ilvl w:val="0"/>
          <w:numId w:val="2"/>
        </w:numPr>
        <w:spacing w:before="60" w:after="60"/>
      </w:pPr>
      <w:r>
        <w:rPr>
          <w:rFonts w:ascii="Arial" w:cs="Arial" w:eastAsia="Arial" w:hAnsi="Arial"/>
          <w:sz w:val="22"/>
          <w:szCs w:val="22"/>
        </w:rPr>
        <w:t xml:space="preserve">Investigadores principales (Dra. Ena Romero, Dr. Mario Horta): responsables del proyecto ante la institución, gestión del aval ético, supervisión general del trabajo de campo.</w:t>
      </w:r>
    </w:p>
    <w:p>
      <w:pPr>
        <w:pStyle w:val="ListParagraph"/>
        <w:numPr>
          <w:ilvl w:val="0"/>
          <w:numId w:val="2"/>
        </w:numPr>
        <w:spacing w:before="60" w:after="60"/>
      </w:pPr>
      <w:r>
        <w:rPr>
          <w:rFonts w:ascii="Arial" w:cs="Arial" w:eastAsia="Arial" w:hAnsi="Arial"/>
          <w:sz w:val="22"/>
          <w:szCs w:val="22"/>
        </w:rPr>
        <w:t xml:space="preserve">Colaborador sociocultural (Carlos Horta): diseño y coordinación de los instrumentos de contexto, análisis de la dimensión sociocultural, redacción de artículos propios y compartidos.</w:t>
      </w:r>
    </w:p>
    <w:p>
      <w:pPr>
        <w:pStyle w:val="ListParagraph"/>
        <w:numPr>
          <w:ilvl w:val="0"/>
          <w:numId w:val="2"/>
        </w:numPr>
        <w:spacing w:before="60" w:after="60"/>
      </w:pPr>
      <w:r>
        <w:rPr>
          <w:rFonts w:ascii="Arial" w:cs="Arial" w:eastAsia="Arial" w:hAnsi="Arial"/>
          <w:sz w:val="22"/>
          <w:szCs w:val="22"/>
        </w:rPr>
        <w:t xml:space="preserve">Colaborador competencia motriz (Víctor Hugo Horta): diseño y coordinación de instrumentos de EF aplicables remotamente, análisis de competencia motriz.</w:t>
      </w:r>
    </w:p>
    <w:p>
      <w:pPr>
        <w:pStyle w:val="ListParagraph"/>
        <w:numPr>
          <w:ilvl w:val="0"/>
          <w:numId w:val="2"/>
        </w:numPr>
        <w:spacing w:before="60" w:after="60"/>
      </w:pPr>
      <w:r>
        <w:rPr>
          <w:rFonts w:ascii="Arial" w:cs="Arial" w:eastAsia="Arial" w:hAnsi="Arial"/>
          <w:sz w:val="22"/>
          <w:szCs w:val="22"/>
        </w:rPr>
        <w:t xml:space="preserve">Coordinadores locales: gestión de aplicación en campo, recolección y envío de materiales por WhatsApp.</w:t>
      </w:r>
    </w:p>
    <w:p>
      <w:pPr>
        <w:pStyle w:val="ListParagraph"/>
        <w:numPr>
          <w:ilvl w:val="0"/>
          <w:numId w:val="2"/>
        </w:numPr>
        <w:spacing w:before="60" w:after="60"/>
      </w:pPr>
      <w:r>
        <w:rPr>
          <w:rFonts w:ascii="Arial" w:cs="Arial" w:eastAsia="Arial" w:hAnsi="Arial"/>
          <w:sz w:val="22"/>
          <w:szCs w:val="22"/>
        </w:rPr>
        <w:t xml:space="preserve">Docentes de grupo: aplicación de cuestionarios y checklists de observación.</w:t>
      </w:r>
    </w:p>
    <w:p>
      <w:pPr>
        <w:pStyle w:val="Heading1"/>
        <w:pBdr>
          <w:bottom w:val="single" w:color="444444" w:sz="6" w:space="2"/>
        </w:pBdr>
        <w:spacing w:before="360" w:after="160"/>
      </w:pPr>
      <w:r>
        <w:rPr>
          <w:rFonts w:ascii="Arial" w:cs="Arial" w:eastAsia="Arial" w:hAnsi="Arial"/>
          <w:b/>
          <w:bCs/>
          <w:sz w:val="28"/>
          <w:szCs w:val="28"/>
        </w:rPr>
        <w:t xml:space="preserve">8. Productos esperados</w:t>
      </w:r>
    </w:p>
    <w:p>
      <w:pPr>
        <w:pStyle w:val="Heading2"/>
        <w:spacing w:before="240" w:after="120"/>
      </w:pPr>
      <w:r>
        <w:rPr>
          <w:rFonts w:ascii="Arial" w:cs="Arial" w:eastAsia="Arial" w:hAnsi="Arial"/>
          <w:b/>
          <w:bCs/>
          <w:sz w:val="24"/>
          <w:szCs w:val="24"/>
        </w:rPr>
        <w:t xml:space="preserve">Artículos académicos</w:t>
      </w:r>
    </w:p>
    <w:p>
      <w:pPr>
        <w:pStyle w:val="ListParagraph"/>
        <w:numPr>
          <w:ilvl w:val="0"/>
          <w:numId w:val="2"/>
        </w:numPr>
        <w:spacing w:before="60" w:after="60"/>
      </w:pPr>
      <w:r>
        <w:rPr>
          <w:rFonts w:ascii="Arial" w:cs="Arial" w:eastAsia="Arial" w:hAnsi="Arial"/>
          <w:sz w:val="22"/>
          <w:szCs w:val="22"/>
        </w:rPr>
        <w:t xml:space="preserve">Condición física y contexto escolar en primarias de Sonora: comparativa entre tres contextos. (Mario, Víctor)</w:t>
      </w:r>
    </w:p>
    <w:p>
      <w:pPr>
        <w:pStyle w:val="ListParagraph"/>
        <w:numPr>
          <w:ilvl w:val="0"/>
          <w:numId w:val="2"/>
        </w:numPr>
        <w:spacing w:before="60" w:after="60"/>
      </w:pPr>
      <w:r>
        <w:rPr>
          <w:rFonts w:ascii="Arial" w:cs="Arial" w:eastAsia="Arial" w:hAnsi="Arial"/>
          <w:sz w:val="22"/>
          <w:szCs w:val="22"/>
        </w:rPr>
        <w:t xml:space="preserve">Bienestar percibido y calidad de vida escolar en tres contextos de Sonora. (Ena)</w:t>
      </w:r>
    </w:p>
    <w:p>
      <w:pPr>
        <w:pStyle w:val="ListParagraph"/>
        <w:numPr>
          <w:ilvl w:val="0"/>
          <w:numId w:val="2"/>
        </w:numPr>
        <w:spacing w:before="60" w:after="60"/>
      </w:pPr>
      <w:r>
        <w:rPr>
          <w:rFonts w:ascii="Arial" w:cs="Arial" w:eastAsia="Arial" w:hAnsi="Arial"/>
          <w:sz w:val="22"/>
          <w:szCs w:val="22"/>
        </w:rPr>
        <w:t xml:space="preserve">Convivencia, espacio y alimentación escolar: una caracterización sociocultural comparada. (Carlos)</w:t>
      </w:r>
    </w:p>
    <w:p>
      <w:pPr>
        <w:pStyle w:val="ListParagraph"/>
        <w:numPr>
          <w:ilvl w:val="0"/>
          <w:numId w:val="2"/>
        </w:numPr>
        <w:spacing w:before="60" w:after="60"/>
      </w:pPr>
      <w:r>
        <w:rPr>
          <w:rFonts w:ascii="Arial" w:cs="Arial" w:eastAsia="Arial" w:hAnsi="Arial"/>
          <w:sz w:val="22"/>
          <w:szCs w:val="22"/>
        </w:rPr>
        <w:t xml:space="preserve">Perfil integral de la vida escolar en Sonora: condición física, bienestar y contexto. (equipo completo)</w:t>
      </w:r>
    </w:p>
    <w:p>
      <w:pPr>
        <w:pStyle w:val="ListParagraph"/>
        <w:numPr>
          <w:ilvl w:val="0"/>
          <w:numId w:val="2"/>
        </w:numPr>
        <w:spacing w:before="60" w:after="60"/>
      </w:pPr>
      <w:r>
        <w:rPr>
          <w:rFonts w:ascii="Arial" w:cs="Arial" w:eastAsia="Arial" w:hAnsi="Arial"/>
          <w:sz w:val="22"/>
          <w:szCs w:val="22"/>
        </w:rPr>
        <w:t xml:space="preserve">Artículos adicionales por dimensión temática, según los hallazgos del análisis.</w:t>
      </w:r>
    </w:p>
    <w:p>
      <w:pPr>
        <w:pStyle w:val="Heading2"/>
        <w:spacing w:before="240" w:after="120"/>
      </w:pPr>
      <w:r>
        <w:rPr>
          <w:rFonts w:ascii="Arial" w:cs="Arial" w:eastAsia="Arial" w:hAnsi="Arial"/>
          <w:b/>
          <w:bCs/>
          <w:sz w:val="24"/>
          <w:szCs w:val="24"/>
        </w:rPr>
        <w:t xml:space="preserve">Policy briefs para SEP</w:t>
      </w:r>
    </w:p>
    <w:p>
      <w:pPr>
        <w:pStyle w:val="ListParagraph"/>
        <w:numPr>
          <w:ilvl w:val="0"/>
          <w:numId w:val="2"/>
        </w:numPr>
        <w:spacing w:before="60" w:after="60"/>
      </w:pPr>
      <w:r>
        <w:rPr>
          <w:rFonts w:ascii="Arial" w:cs="Arial" w:eastAsia="Arial" w:hAnsi="Arial"/>
          <w:sz w:val="22"/>
          <w:szCs w:val="22"/>
        </w:rPr>
        <w:t xml:space="preserve">Condiciones de vida escolar en primarias de Sonora: recomendaciones diferenciadas por contexto.</w:t>
      </w:r>
    </w:p>
    <w:p>
      <w:pPr>
        <w:pStyle w:val="ListParagraph"/>
        <w:numPr>
          <w:ilvl w:val="0"/>
          <w:numId w:val="2"/>
        </w:numPr>
        <w:spacing w:before="60" w:after="60"/>
      </w:pPr>
      <w:r>
        <w:rPr>
          <w:rFonts w:ascii="Arial" w:cs="Arial" w:eastAsia="Arial" w:hAnsi="Arial"/>
          <w:sz w:val="22"/>
          <w:szCs w:val="22"/>
        </w:rPr>
        <w:t xml:space="preserve">Infraestructura, convivencia y actividad física: implicaciones para política educativa.</w:t>
      </w:r>
    </w:p>
    <w:p>
      <w:pPr>
        <w:pStyle w:val="Heading1"/>
        <w:pBdr>
          <w:bottom w:val="single" w:color="444444" w:sz="6" w:space="2"/>
        </w:pBdr>
        <w:spacing w:before="360" w:after="160"/>
      </w:pPr>
      <w:r>
        <w:rPr>
          <w:rFonts w:ascii="Arial" w:cs="Arial" w:eastAsia="Arial" w:hAnsi="Arial"/>
          <w:b/>
          <w:bCs/>
          <w:sz w:val="28"/>
          <w:szCs w:val="28"/>
        </w:rPr>
        <w:t xml:space="preserve">9. Cronograma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Periodo</w:t>
            </w:r>
          </w:p>
        </w:tc>
        <w:tc>
          <w:tcPr>
            <w:tcW w:type="dxa" w:w="6860"/>
            <w:tcBorders>
              <w:top w:val="single" w:color="CCCCCC" w:sz="1"/>
              <w:left w:val="single" w:color="CCCCCC" w:sz="1"/>
              <w:bottom w:val="single" w:color="CCCCCC" w:sz="1"/>
              <w:right w:val="single" w:color="CCCCCC" w:sz="1"/>
            </w:tcBorders>
            <w:shd w:fill="DDDDDD" w:val="clear"/>
            <w:tcMar>
              <w:top w:type="dxa" w:w="100"/>
              <w:left w:type="dxa" w:w="150"/>
              <w:bottom w:type="dxa" w:w="100"/>
              <w:right w:type="dxa" w:w="150"/>
            </w:tcMar>
          </w:tcPr>
          <w:p>
            <w:r>
              <w:rPr>
                <w:rFonts w:ascii="Arial" w:cs="Arial" w:eastAsia="Arial" w:hAnsi="Arial"/>
                <w:b/>
                <w:bCs/>
                <w:sz w:val="20"/>
                <w:szCs w:val="20"/>
              </w:rPr>
              <w:t xml:space="preserve">Actividades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Abr–May 2026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Finalización de instrumentos, gestión de aval ético, permisos en escuelas, preparación de coordinadores locales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Jun–Jul 2026</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Trabajo de campo: aplicación de instrumentos en las tres escuelas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Ago–Sep 2026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Captura, limpieza y organización de datos por dimensión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Oct–Dic 2026</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Análisis por dimensión: estadística descriptiva, análisis cualitativo, comparación entre contextos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Ene–Mar 2027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Redacción de artículos y policy briefs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Abr–Jun 2027</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Envío a revistas, presentación de resultados a escuelas y SEP</w:t>
            </w:r>
          </w:p>
        </w:tc>
      </w:tr>
    </w:tbl>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60" w:after="60"/>
            </w:pPr>
            <w:r>
              <w:rPr>
                <w:rFonts w:ascii="Arial" w:cs="Arial" w:eastAsia="Arial" w:hAnsi="Arial"/>
                <w:b w:val="false"/>
                <w:bCs w:val="false"/>
                <w:i/>
                <w:iCs/>
                <w:sz w:val="22"/>
                <w:szCs w:val="22"/>
              </w:rPr>
              <w:t xml:space="preserve">Versión de trabajo — marzo de 2026</w:t>
            </w:r>
          </w:p>
          <w:p>
            <w:pPr>
              <w:spacing w:before="60" w:after="60"/>
            </w:pPr>
            <w:r>
              <w:rPr>
                <w:rFonts w:ascii="Arial" w:cs="Arial" w:eastAsia="Arial" w:hAnsi="Arial"/>
                <w:b w:val="false"/>
                <w:bCs w:val="false"/>
                <w:i/>
                <w:iCs/>
                <w:sz w:val="22"/>
                <w:szCs w:val="22"/>
              </w:rPr>
              <w:t xml:space="preserve">Este documento es de uso interno del equipo. Para comentarios o correcciones, contactar a Carlos Horta.</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2026-03-26T06:36:02.582Z</dcterms:created>
  <dcterms:modified xsi:type="dcterms:W3CDTF">2026-03-26T06:36:02.582Z</dcterms:modified>
</cp:coreProperties>
</file>

<file path=docProps/custom.xml><?xml version="1.0" encoding="utf-8"?>
<Properties xmlns="http://schemas.openxmlformats.org/officeDocument/2006/custom-properties" xmlns:vt="http://schemas.openxmlformats.org/officeDocument/2006/docPropsVTypes"/>
</file>