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729" w14:textId="322F55CA" w:rsidR="00FE172E" w:rsidRDefault="008E5F33" w:rsidP="007C1333">
      <w:pPr>
        <w:spacing w:line="240" w:lineRule="atLeast"/>
        <w:rPr>
          <w:lang w:val="es-MX"/>
        </w:rPr>
      </w:pPr>
      <w:r>
        <w:rPr>
          <w:lang w:val="es-MX"/>
        </w:rPr>
        <w:t>Carlos Enrique Jaramillo Aros</w:t>
      </w:r>
    </w:p>
    <w:p w14:paraId="725CD566" w14:textId="42C4E87A" w:rsidR="008E5F33" w:rsidRDefault="008E5F33" w:rsidP="007C1333">
      <w:pPr>
        <w:spacing w:line="240" w:lineRule="atLeast"/>
        <w:rPr>
          <w:lang w:val="es-MX"/>
        </w:rPr>
      </w:pPr>
      <w:r>
        <w:rPr>
          <w:lang w:val="es-MX"/>
        </w:rPr>
        <w:t xml:space="preserve">MCD – FAII – Taller </w:t>
      </w:r>
      <w:r w:rsidR="00454F48">
        <w:rPr>
          <w:lang w:val="es-MX"/>
        </w:rPr>
        <w:t>Tendencia y Estacionalidad</w:t>
      </w:r>
    </w:p>
    <w:p w14:paraId="785AC848" w14:textId="21CE05A4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Objetivo</w:t>
      </w:r>
    </w:p>
    <w:p w14:paraId="0159C522" w14:textId="2B8E511A" w:rsidR="003B5DAD" w:rsidRDefault="006E5AF4" w:rsidP="000B5D16">
      <w:pPr>
        <w:jc w:val="both"/>
      </w:pPr>
      <w:r>
        <w:t>E</w:t>
      </w:r>
      <w:r w:rsidR="008E5F33">
        <w:t xml:space="preserve">valuar </w:t>
      </w:r>
      <w:r>
        <w:t xml:space="preserve">modelos sobre </w:t>
      </w:r>
      <w:r w:rsidRPr="008E5F33">
        <w:t xml:space="preserve">series </w:t>
      </w:r>
      <w:r>
        <w:t>de tiempo</w:t>
      </w:r>
      <w:r w:rsidRPr="008E5F33">
        <w:t xml:space="preserve"> </w:t>
      </w:r>
      <w:r w:rsidR="008E5F33">
        <w:t xml:space="preserve">por </w:t>
      </w:r>
      <w:r>
        <w:t>medio de</w:t>
      </w:r>
      <w:r w:rsidR="008E5F33">
        <w:t xml:space="preserve"> métrica</w:t>
      </w:r>
      <w:r w:rsidR="000B5D16">
        <w:t>s</w:t>
      </w:r>
      <w:r>
        <w:t xml:space="preserve"> de error en el ajuste enfocado al</w:t>
      </w:r>
      <w:r w:rsidRPr="008E5F33">
        <w:t xml:space="preserve"> número de ocupados en miles de personas</w:t>
      </w:r>
      <w:r w:rsidR="007C1333">
        <w:t xml:space="preserve"> o</w:t>
      </w:r>
      <w:r w:rsidRPr="008E5F33">
        <w:t>cupad</w:t>
      </w:r>
      <w:r w:rsidR="007C1333">
        <w:t>a</w:t>
      </w:r>
      <w:r w:rsidRPr="008E5F33">
        <w:t>s</w:t>
      </w:r>
      <w:r w:rsidR="007C1333">
        <w:t xml:space="preserve"> (datos).</w:t>
      </w:r>
      <w:r w:rsidR="000B5D16" w:rsidRPr="000B5D16">
        <w:t xml:space="preserve"> </w:t>
      </w:r>
    </w:p>
    <w:p w14:paraId="6073F8CC" w14:textId="416051FB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Desarrollo</w:t>
      </w:r>
    </w:p>
    <w:p w14:paraId="28752C40" w14:textId="6D5DE9F2" w:rsidR="00AC0060" w:rsidRDefault="008E5F33" w:rsidP="00042B0F">
      <w:pPr>
        <w:jc w:val="both"/>
        <w:rPr>
          <w:sz w:val="14"/>
          <w:szCs w:val="14"/>
        </w:rPr>
      </w:pPr>
      <w:r>
        <w:t>Se plantea desarrollar el ejercici</w:t>
      </w:r>
      <w:r w:rsidR="007C1333">
        <w:t>o (Usando Python)</w:t>
      </w:r>
      <w:r w:rsidR="006E5AF4">
        <w:t xml:space="preserve"> ejecutando las</w:t>
      </w:r>
      <w:r w:rsidR="000B5D16">
        <w:t xml:space="preserve"> diferentes configuraciones</w:t>
      </w:r>
      <w:r w:rsidR="007C1333">
        <w:t xml:space="preserve">, </w:t>
      </w:r>
      <w:r w:rsidR="000B5D16">
        <w:t xml:space="preserve">para cada uno </w:t>
      </w:r>
      <w:r w:rsidR="006E5AF4">
        <w:t xml:space="preserve">de </w:t>
      </w:r>
      <w:r w:rsidR="007C1333">
        <w:t xml:space="preserve">los </w:t>
      </w:r>
      <w:r w:rsidR="00AC0060">
        <w:t>modelos de tendencia con estacionalidad, iterando en te varios buscando así un mejor ajuste al comportamiento de series temporales.</w:t>
      </w:r>
      <w:r w:rsidR="00AC0060" w:rsidRPr="00AC0060">
        <w:rPr>
          <w:sz w:val="14"/>
          <w:szCs w:val="14"/>
        </w:rPr>
        <w:drawing>
          <wp:inline distT="0" distB="0" distL="0" distR="0" wp14:anchorId="10CAA52F" wp14:editId="5B925164">
            <wp:extent cx="3204210" cy="1016635"/>
            <wp:effectExtent l="0" t="0" r="0" b="0"/>
            <wp:docPr id="1602460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0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EB57" w14:textId="1E2C66EC" w:rsidR="007C1812" w:rsidRPr="007C1812" w:rsidRDefault="007C1812" w:rsidP="007C1333">
      <w:pPr>
        <w:rPr>
          <w:sz w:val="14"/>
          <w:szCs w:val="14"/>
        </w:rPr>
      </w:pPr>
      <w:r w:rsidRPr="007C1812">
        <w:rPr>
          <w:sz w:val="14"/>
          <w:szCs w:val="14"/>
        </w:rPr>
        <w:t>Tabla1: Modelos</w:t>
      </w:r>
    </w:p>
    <w:p w14:paraId="6A7A6E2B" w14:textId="0E5C7093" w:rsidR="00AC0060" w:rsidRDefault="00AC0060" w:rsidP="00042B0F">
      <w:pPr>
        <w:jc w:val="both"/>
        <w:rPr>
          <w:b/>
          <w:bCs/>
        </w:rPr>
      </w:pPr>
      <w:r>
        <w:rPr>
          <w:b/>
          <w:bCs/>
        </w:rPr>
        <w:t>Pruebas de supuesto</w:t>
      </w:r>
    </w:p>
    <w:p w14:paraId="41E598A7" w14:textId="08E95019" w:rsidR="00AC0060" w:rsidRDefault="00AC0060" w:rsidP="00042B0F">
      <w:pPr>
        <w:jc w:val="both"/>
      </w:pPr>
      <w:r>
        <w:t>Una vez ejecutada la ejecución de los modelos, se plantea ejecutar las pruebas sobre supuestos (</w:t>
      </w:r>
      <w:r w:rsidRPr="00042B0F">
        <w:rPr>
          <w:b/>
          <w:bCs/>
        </w:rPr>
        <w:t>Autocorrelacion</w:t>
      </w:r>
      <w:r>
        <w:t xml:space="preserve">, </w:t>
      </w:r>
      <w:r w:rsidR="00042B0F" w:rsidRPr="00042B0F">
        <w:rPr>
          <w:b/>
          <w:bCs/>
        </w:rPr>
        <w:t>Homocedasticidad</w:t>
      </w:r>
      <w:r>
        <w:t xml:space="preserve">, </w:t>
      </w:r>
      <w:r w:rsidRPr="00042B0F">
        <w:rPr>
          <w:b/>
          <w:bCs/>
        </w:rPr>
        <w:t>Normalidad</w:t>
      </w:r>
      <w:r>
        <w:t xml:space="preserve">) con el fin de garantizar la validez de los pronósticos generados con estos modelos, se encontró que este modelo cumple con todas las pruebas e </w:t>
      </w:r>
      <w:r w:rsidR="00042B0F">
        <w:t>supuestos</w:t>
      </w:r>
      <w:r>
        <w:t xml:space="preserve"> realizadas</w:t>
      </w:r>
      <w:r w:rsidR="00042B0F">
        <w:t>.</w:t>
      </w:r>
    </w:p>
    <w:p w14:paraId="4E18A5A7" w14:textId="77777777" w:rsidR="006A0EB3" w:rsidRDefault="006A0EB3" w:rsidP="00042B0F">
      <w:pPr>
        <w:pStyle w:val="Prrafodelista"/>
        <w:numPr>
          <w:ilvl w:val="0"/>
          <w:numId w:val="2"/>
        </w:numPr>
        <w:jc w:val="both"/>
      </w:pPr>
      <w:r>
        <w:t>Autocorrelación [</w:t>
      </w:r>
      <w:r w:rsidRPr="006A0EB3">
        <w:t>Box-Pierce</w:t>
      </w:r>
      <w:r>
        <w:t>,</w:t>
      </w:r>
      <w:r w:rsidRPr="006A0EB3">
        <w:t xml:space="preserve"> </w:t>
      </w:r>
      <w:r w:rsidRPr="006A0EB3">
        <w:t>Ljung-Box</w:t>
      </w:r>
      <w:r>
        <w:t>]:</w:t>
      </w:r>
    </w:p>
    <w:p w14:paraId="266A55E5" w14:textId="6495BB66" w:rsidR="006A0EB3" w:rsidRDefault="006A0EB3" w:rsidP="00042B0F">
      <w:pPr>
        <w:pStyle w:val="Prrafodelista"/>
        <w:jc w:val="both"/>
      </w:pPr>
      <w:r>
        <w:t xml:space="preserve">p-value = 0 (para 20 rezagos) </w:t>
      </w:r>
    </w:p>
    <w:p w14:paraId="15FF8393" w14:textId="77777777" w:rsidR="006A0EB3" w:rsidRDefault="006A0EB3" w:rsidP="00042B0F">
      <w:pPr>
        <w:pStyle w:val="Prrafodelista"/>
        <w:numPr>
          <w:ilvl w:val="0"/>
          <w:numId w:val="2"/>
        </w:numPr>
        <w:jc w:val="both"/>
      </w:pPr>
      <w:r w:rsidRPr="006A0EB3">
        <w:t>Homoscedasticidad</w:t>
      </w:r>
      <w:r>
        <w:t xml:space="preserve"> [</w:t>
      </w:r>
      <w:r w:rsidRPr="006A0EB3">
        <w:t>Ljung-Box</w:t>
      </w:r>
      <w:r>
        <w:t>] (restando media y elevando al cuadrado:</w:t>
      </w:r>
    </w:p>
    <w:p w14:paraId="07EA9656" w14:textId="7195534F" w:rsidR="006A0EB3" w:rsidRDefault="006A0EB3" w:rsidP="00042B0F">
      <w:pPr>
        <w:pStyle w:val="Prrafodelista"/>
        <w:jc w:val="both"/>
      </w:pPr>
      <w:r>
        <w:t>p-value = 0 (para 20 rezagos).</w:t>
      </w:r>
    </w:p>
    <w:p w14:paraId="0AFC7C06" w14:textId="64F56CE0" w:rsidR="006A0EB3" w:rsidRDefault="006A0EB3" w:rsidP="00042B0F">
      <w:pPr>
        <w:pStyle w:val="Prrafodelista"/>
        <w:numPr>
          <w:ilvl w:val="0"/>
          <w:numId w:val="2"/>
        </w:numPr>
        <w:jc w:val="both"/>
      </w:pPr>
      <w:r>
        <w:t>Normalidad [</w:t>
      </w:r>
      <w:r w:rsidRPr="006A0EB3">
        <w:t>shapiro</w:t>
      </w:r>
      <w:r>
        <w:t xml:space="preserve"> - JarqueBera]:</w:t>
      </w:r>
    </w:p>
    <w:p w14:paraId="610B95D6" w14:textId="78FAAFCC" w:rsidR="00AC0060" w:rsidRPr="006A0EB3" w:rsidRDefault="006A0EB3" w:rsidP="00042B0F">
      <w:pPr>
        <w:pStyle w:val="Prrafodelista"/>
        <w:ind w:left="1416" w:hanging="696"/>
        <w:jc w:val="both"/>
      </w:pPr>
      <w:r>
        <w:t xml:space="preserve">p-value &gt; 0.05 </w:t>
      </w:r>
    </w:p>
    <w:p w14:paraId="70D0ECC4" w14:textId="75E15876" w:rsidR="008E5F33" w:rsidRDefault="000B5D16" w:rsidP="007C1333">
      <w:pPr>
        <w:rPr>
          <w:b/>
          <w:bCs/>
        </w:rPr>
      </w:pPr>
      <w:r w:rsidRPr="003B5DAD">
        <w:rPr>
          <w:b/>
          <w:bCs/>
        </w:rPr>
        <w:t xml:space="preserve">Proyecciones </w:t>
      </w:r>
    </w:p>
    <w:p w14:paraId="0056EFEB" w14:textId="6C6A97BC" w:rsidR="00335349" w:rsidRDefault="003B5DAD" w:rsidP="006E5AF4">
      <w:pPr>
        <w:jc w:val="both"/>
      </w:pPr>
      <w:r>
        <w:t>Teniendo el mejor modelo</w:t>
      </w:r>
      <w:r w:rsidR="00AC0060">
        <w:t xml:space="preserve"> de tendencia polinómica + estacionalidad </w:t>
      </w:r>
      <w:r>
        <w:t xml:space="preserve">para este conjunto de datos, </w:t>
      </w:r>
      <w:r w:rsidR="00042B0F">
        <w:t xml:space="preserve">encontramos </w:t>
      </w:r>
      <w:r>
        <w:t xml:space="preserve">el pronóstico para los siguientes seis (6) </w:t>
      </w:r>
      <w:r>
        <w:t>meses.</w:t>
      </w:r>
      <w:r w:rsidR="00AC0060" w:rsidRPr="00AC0060">
        <w:t xml:space="preserve"> </w:t>
      </w:r>
      <w:r w:rsidR="00AC0060" w:rsidRPr="00AC0060">
        <w:drawing>
          <wp:inline distT="0" distB="0" distL="0" distR="0" wp14:anchorId="2FC6B20E" wp14:editId="4252A4D1">
            <wp:extent cx="3047448" cy="1543050"/>
            <wp:effectExtent l="0" t="0" r="635" b="0"/>
            <wp:docPr id="16320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25" cy="15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E8D" w14:textId="2324CF1A" w:rsidR="007C1812" w:rsidRPr="007C1812" w:rsidRDefault="00042B0F" w:rsidP="006E5AF4">
      <w:pPr>
        <w:jc w:val="both"/>
        <w:rPr>
          <w:sz w:val="14"/>
          <w:szCs w:val="14"/>
        </w:rPr>
      </w:pPr>
      <w:r>
        <w:rPr>
          <w:sz w:val="14"/>
          <w:szCs w:val="14"/>
        </w:rPr>
        <w:t>Gráfic 1</w:t>
      </w:r>
      <w:r w:rsidR="007C1812" w:rsidRPr="007C1812">
        <w:rPr>
          <w:sz w:val="14"/>
          <w:szCs w:val="14"/>
        </w:rPr>
        <w:t xml:space="preserve"> :</w:t>
      </w:r>
      <w:r w:rsidR="006A0EB3">
        <w:rPr>
          <w:sz w:val="14"/>
          <w:szCs w:val="14"/>
        </w:rPr>
        <w:t>Pronósticos</w:t>
      </w:r>
    </w:p>
    <w:p w14:paraId="6D7A130B" w14:textId="184C8742" w:rsidR="000B5D16" w:rsidRPr="003B5DAD" w:rsidRDefault="003B5DAD" w:rsidP="006E5AF4">
      <w:pPr>
        <w:jc w:val="both"/>
        <w:rPr>
          <w:b/>
          <w:bCs/>
        </w:rPr>
      </w:pPr>
      <w:r w:rsidRPr="003B5DAD">
        <w:rPr>
          <w:b/>
          <w:bCs/>
        </w:rPr>
        <w:t>Limitaciones</w:t>
      </w:r>
    </w:p>
    <w:p w14:paraId="4F14C53F" w14:textId="1D7E7DD6" w:rsidR="003B5DAD" w:rsidRDefault="000B5D16" w:rsidP="006E5AF4">
      <w:pPr>
        <w:jc w:val="both"/>
      </w:pPr>
      <w:r>
        <w:t xml:space="preserve">Limitaciones de los pronósticos </w:t>
      </w:r>
      <w:r w:rsidR="003B5DAD">
        <w:t xml:space="preserve">están ligadas a la presunción de continuidad de los datos basado en los patrones del pasado, en caso de </w:t>
      </w:r>
      <w:r w:rsidR="005B4A46">
        <w:t>presentarse</w:t>
      </w:r>
      <w:r w:rsidR="003B5DAD">
        <w:t xml:space="preserve"> cambios abruptos</w:t>
      </w:r>
      <w:r w:rsidR="005B4A46">
        <w:t>,</w:t>
      </w:r>
      <w:r w:rsidR="006647A9">
        <w:t xml:space="preserve"> el pronóstico para los siguientes seis (6) meses podría</w:t>
      </w:r>
      <w:r w:rsidR="006E5AF4">
        <w:t xml:space="preserve"> no</w:t>
      </w:r>
      <w:r w:rsidR="003B5DAD">
        <w:t xml:space="preserve"> ser precis</w:t>
      </w:r>
      <w:r w:rsidR="006647A9">
        <w:t>o</w:t>
      </w:r>
      <w:r w:rsidR="003B5DAD">
        <w:t>.</w:t>
      </w:r>
    </w:p>
    <w:p w14:paraId="5E1FDCD8" w14:textId="0B96E576" w:rsidR="000B5D16" w:rsidRPr="003B5DAD" w:rsidRDefault="003B5DAD" w:rsidP="0094421C">
      <w:pPr>
        <w:jc w:val="both"/>
        <w:rPr>
          <w:b/>
          <w:bCs/>
        </w:rPr>
      </w:pPr>
      <w:r w:rsidRPr="003B5DAD">
        <w:rPr>
          <w:b/>
          <w:bCs/>
        </w:rPr>
        <w:t xml:space="preserve">Conclusión </w:t>
      </w:r>
    </w:p>
    <w:p w14:paraId="371CB8EC" w14:textId="18AE2F6B" w:rsidR="006647A9" w:rsidRDefault="003B5DAD" w:rsidP="0094421C">
      <w:pPr>
        <w:jc w:val="both"/>
      </w:pPr>
      <w:r>
        <w:t xml:space="preserve">Este informe corto muestra la evaluación de los </w:t>
      </w:r>
      <w:r w:rsidR="006A0EB3">
        <w:t xml:space="preserve">modelos de tendencia Lineal, Polinomica + estacionalidad </w:t>
      </w:r>
      <w:r>
        <w:t xml:space="preserve">aplicados a series temporales </w:t>
      </w:r>
      <w:r w:rsidR="005B4A46">
        <w:t>sobre</w:t>
      </w:r>
      <w:r w:rsidR="006647A9">
        <w:t xml:space="preserve"> el</w:t>
      </w:r>
      <w:r w:rsidR="005B4A46">
        <w:t xml:space="preserve"> </w:t>
      </w:r>
      <w:r w:rsidR="006647A9" w:rsidRPr="008E5F33">
        <w:t xml:space="preserve">número de </w:t>
      </w:r>
      <w:r w:rsidR="007C1812">
        <w:t>personas ocupadas</w:t>
      </w:r>
      <w:r w:rsidR="00042B0F">
        <w:t>.</w:t>
      </w:r>
    </w:p>
    <w:p w14:paraId="27CBFF1F" w14:textId="61DC8DEF" w:rsidR="006647A9" w:rsidRDefault="006647A9" w:rsidP="0094421C">
      <w:pPr>
        <w:jc w:val="both"/>
      </w:pPr>
      <w:r>
        <w:t xml:space="preserve">Basado en el cálculo de los errores encontrados en cada uno de los </w:t>
      </w:r>
      <w:r w:rsidR="006A0EB3">
        <w:t>modelos</w:t>
      </w:r>
      <w:r w:rsidR="00335349">
        <w:t>,</w:t>
      </w:r>
      <w:r>
        <w:t xml:space="preserve"> se puede determinar que el modelo con menor error es </w:t>
      </w:r>
      <w:r w:rsidR="006A0EB3">
        <w:rPr>
          <w:b/>
          <w:bCs/>
        </w:rPr>
        <w:t xml:space="preserve">Tendencia </w:t>
      </w:r>
      <w:r w:rsidR="00042B0F">
        <w:rPr>
          <w:b/>
          <w:bCs/>
        </w:rPr>
        <w:t>Polinómica</w:t>
      </w:r>
      <w:r w:rsidR="006A0EB3">
        <w:rPr>
          <w:b/>
          <w:bCs/>
        </w:rPr>
        <w:t xml:space="preserve"> grado 5 + estacionalidad </w:t>
      </w:r>
      <w:r>
        <w:t xml:space="preserve">según </w:t>
      </w:r>
      <w:r w:rsidRPr="005B4A46">
        <w:rPr>
          <w:b/>
          <w:bCs/>
        </w:rPr>
        <w:t>RMSE</w:t>
      </w:r>
      <w:r>
        <w:t xml:space="preserve">, </w:t>
      </w:r>
      <w:r w:rsidRPr="005B4A46">
        <w:rPr>
          <w:b/>
          <w:bCs/>
        </w:rPr>
        <w:t>Coef</w:t>
      </w:r>
      <w:r w:rsidR="00042B0F">
        <w:rPr>
          <w:b/>
          <w:bCs/>
        </w:rPr>
        <w:t>.</w:t>
      </w:r>
      <w:r w:rsidRPr="005B4A46">
        <w:rPr>
          <w:b/>
          <w:bCs/>
        </w:rPr>
        <w:t xml:space="preserve"> R2</w:t>
      </w:r>
      <w:r>
        <w:t>.</w:t>
      </w:r>
    </w:p>
    <w:p w14:paraId="71DB9A5E" w14:textId="46E4CD18" w:rsidR="006A0EB3" w:rsidRDefault="006647A9" w:rsidP="0094421C">
      <w:pPr>
        <w:jc w:val="both"/>
      </w:pPr>
      <w:r>
        <w:t>Adicionalmente p</w:t>
      </w:r>
      <w:r w:rsidR="003B5DAD">
        <w:t xml:space="preserve">odemos ver que los valores para los siguientes seis (6) meses, podrían oscilar entre </w:t>
      </w:r>
      <w:r w:rsidR="006A0EB3">
        <w:t>10382</w:t>
      </w:r>
      <w:r w:rsidR="003B5DAD">
        <w:t xml:space="preserve"> y 10</w:t>
      </w:r>
      <w:r w:rsidR="007C1333">
        <w:t>8</w:t>
      </w:r>
      <w:r w:rsidR="006A0EB3">
        <w:t>82</w:t>
      </w:r>
      <w:r w:rsidR="007C1333">
        <w:t xml:space="preserve"> aprx</w:t>
      </w:r>
      <w:r w:rsidR="003B5DAD">
        <w:t xml:space="preserve"> </w:t>
      </w:r>
      <w:r w:rsidR="005B4A46">
        <w:t xml:space="preserve">en </w:t>
      </w:r>
      <w:r w:rsidR="003B5DAD">
        <w:t xml:space="preserve">la cantidad de </w:t>
      </w:r>
      <w:r w:rsidR="005B4A46">
        <w:t>ocupados</w:t>
      </w:r>
      <w:r w:rsidR="003B5DAD">
        <w:t>.</w:t>
      </w:r>
    </w:p>
    <w:p w14:paraId="63E59443" w14:textId="648DBA9C" w:rsidR="006A0EB3" w:rsidRDefault="006A0EB3" w:rsidP="0094421C">
      <w:pPr>
        <w:jc w:val="both"/>
        <w:rPr>
          <w:b/>
          <w:bCs/>
        </w:rPr>
      </w:pPr>
      <w:r>
        <w:t xml:space="preserve">Cabe mencionar que este no es el modelo con el mejor RMSE o mejor Coef. R2, a continuación presentamos los modelos desarrollados en el </w:t>
      </w:r>
      <w:r w:rsidRPr="006A0EB3">
        <w:rPr>
          <w:b/>
          <w:bCs/>
        </w:rPr>
        <w:t xml:space="preserve">taller 1 </w:t>
      </w:r>
      <w:r w:rsidRPr="006A0EB3">
        <w:rPr>
          <w:rStyle w:val="Refdenotaalpie"/>
          <w:color w:val="FF0000"/>
        </w:rPr>
        <w:footnoteReference w:id="1"/>
      </w:r>
    </w:p>
    <w:p w14:paraId="75E2EBD7" w14:textId="77777777" w:rsidR="00042B0F" w:rsidRDefault="006A0EB3" w:rsidP="00042B0F">
      <w:pPr>
        <w:jc w:val="both"/>
      </w:pPr>
      <w:r w:rsidRPr="006A0EB3">
        <w:drawing>
          <wp:inline distT="0" distB="0" distL="0" distR="0" wp14:anchorId="67753E97" wp14:editId="287BE11F">
            <wp:extent cx="3156761" cy="1605280"/>
            <wp:effectExtent l="0" t="0" r="5715" b="0"/>
            <wp:docPr id="1669624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4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71" cy="16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A56" w14:textId="6830E830" w:rsidR="006A0EB3" w:rsidRPr="006A0EB3" w:rsidRDefault="00042B0F" w:rsidP="0094421C">
      <w:pPr>
        <w:jc w:val="both"/>
      </w:pPr>
      <w:r w:rsidRPr="007C1812">
        <w:rPr>
          <w:sz w:val="14"/>
          <w:szCs w:val="14"/>
        </w:rPr>
        <w:t>Tabla</w:t>
      </w:r>
      <w:r>
        <w:rPr>
          <w:sz w:val="14"/>
          <w:szCs w:val="14"/>
        </w:rPr>
        <w:t xml:space="preserve"> </w:t>
      </w:r>
      <w:r w:rsidRPr="007C1812">
        <w:rPr>
          <w:sz w:val="14"/>
          <w:szCs w:val="14"/>
        </w:rPr>
        <w:t>2 :</w:t>
      </w:r>
      <w:r>
        <w:rPr>
          <w:sz w:val="14"/>
          <w:szCs w:val="14"/>
        </w:rPr>
        <w:t>Total Modelos</w:t>
      </w:r>
    </w:p>
    <w:sectPr w:rsidR="006A0EB3" w:rsidRPr="006A0EB3" w:rsidSect="00FA4542">
      <w:pgSz w:w="12240" w:h="15840"/>
      <w:pgMar w:top="567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05B7" w14:textId="77777777" w:rsidR="00FA4542" w:rsidRDefault="00FA4542" w:rsidP="00335349">
      <w:pPr>
        <w:spacing w:after="0" w:line="240" w:lineRule="auto"/>
      </w:pPr>
      <w:r>
        <w:separator/>
      </w:r>
    </w:p>
  </w:endnote>
  <w:endnote w:type="continuationSeparator" w:id="0">
    <w:p w14:paraId="39E81825" w14:textId="77777777" w:rsidR="00FA4542" w:rsidRDefault="00FA4542" w:rsidP="0033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690A" w14:textId="77777777" w:rsidR="00FA4542" w:rsidRDefault="00FA4542" w:rsidP="00335349">
      <w:pPr>
        <w:spacing w:after="0" w:line="240" w:lineRule="auto"/>
      </w:pPr>
      <w:r>
        <w:separator/>
      </w:r>
    </w:p>
  </w:footnote>
  <w:footnote w:type="continuationSeparator" w:id="0">
    <w:p w14:paraId="5D1AC934" w14:textId="77777777" w:rsidR="00FA4542" w:rsidRDefault="00FA4542" w:rsidP="00335349">
      <w:pPr>
        <w:spacing w:after="0" w:line="240" w:lineRule="auto"/>
      </w:pPr>
      <w:r>
        <w:continuationSeparator/>
      </w:r>
    </w:p>
  </w:footnote>
  <w:footnote w:id="1">
    <w:p w14:paraId="2C3CE949" w14:textId="3A2D56A0" w:rsidR="006A0EB3" w:rsidRDefault="006A0EB3">
      <w:pPr>
        <w:pStyle w:val="Textonotapie"/>
      </w:pPr>
      <w:r w:rsidRPr="006A0EB3">
        <w:rPr>
          <w:rStyle w:val="Refdenotaalpie"/>
          <w:color w:val="FF0000"/>
        </w:rPr>
        <w:footnoteRef/>
      </w:r>
      <w:r w:rsidRPr="006A0EB3">
        <w:t>https://github.com/carlosjara/MCD_FAII/blob/main/FAII/FAII/Talleres/T1_CarlosEnriqueJaramillo_MCDFAII.pdf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3B23"/>
    <w:multiLevelType w:val="hybridMultilevel"/>
    <w:tmpl w:val="C5943152"/>
    <w:lvl w:ilvl="0" w:tplc="70B0781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D0D0D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83296"/>
    <w:multiLevelType w:val="hybridMultilevel"/>
    <w:tmpl w:val="D4A43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34865">
    <w:abstractNumId w:val="0"/>
  </w:num>
  <w:num w:numId="2" w16cid:durableId="62319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3"/>
    <w:rsid w:val="000145E6"/>
    <w:rsid w:val="00042B0F"/>
    <w:rsid w:val="000B5D16"/>
    <w:rsid w:val="00264ADE"/>
    <w:rsid w:val="00335349"/>
    <w:rsid w:val="003B5DAD"/>
    <w:rsid w:val="00454F48"/>
    <w:rsid w:val="005B4A46"/>
    <w:rsid w:val="006647A9"/>
    <w:rsid w:val="006A0EB3"/>
    <w:rsid w:val="006E5AF4"/>
    <w:rsid w:val="007C1333"/>
    <w:rsid w:val="007C1812"/>
    <w:rsid w:val="008E5F33"/>
    <w:rsid w:val="0094421C"/>
    <w:rsid w:val="009D3987"/>
    <w:rsid w:val="00AC0060"/>
    <w:rsid w:val="00AC74A5"/>
    <w:rsid w:val="00FA4542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8A12"/>
  <w15:chartTrackingRefBased/>
  <w15:docId w15:val="{FE5E3D01-A33C-452D-B4C9-C0983B0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F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3534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353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353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534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0EB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0EB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0E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BB7348-D20A-4933-9826-4FD11ABE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6</cp:revision>
  <cp:lastPrinted>2024-02-17T22:51:00Z</cp:lastPrinted>
  <dcterms:created xsi:type="dcterms:W3CDTF">2024-02-17T01:40:00Z</dcterms:created>
  <dcterms:modified xsi:type="dcterms:W3CDTF">2024-02-25T00:42:00Z</dcterms:modified>
</cp:coreProperties>
</file>