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2japinf8g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leacena0h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 Realizadas (Fase I — Día 4: CSS, Selectores y Modelo de Caja)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Vinculación de Estilos Globales: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enlazó la hoja </w:t>
      </w:r>
      <w:r w:rsidDel="00000000" w:rsidR="00000000" w:rsidRPr="00000000">
        <w:rPr>
          <w:color w:val="188038"/>
          <w:rtl w:val="0"/>
        </w:rPr>
        <w:t xml:space="preserve">css/estilos.css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color w:val="188038"/>
          <w:rtl w:val="0"/>
        </w:rPr>
        <w:t xml:space="preserve">login.html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productos.html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La hoja importa las variables de </w:t>
      </w:r>
      <w:r w:rsidDel="00000000" w:rsidR="00000000" w:rsidRPr="00000000">
        <w:rPr>
          <w:color w:val="188038"/>
          <w:rtl w:val="0"/>
        </w:rPr>
        <w:t xml:space="preserve">tokens.css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@import url('tokens.css');</w:t>
      </w:r>
      <w:r w:rsidDel="00000000" w:rsidR="00000000" w:rsidRPr="00000000">
        <w:rPr>
          <w:rtl w:val="0"/>
        </w:rPr>
        <w:t xml:space="preserve">) y aplica el reseteo </w:t>
      </w:r>
      <w:r w:rsidDel="00000000" w:rsidR="00000000" w:rsidRPr="00000000">
        <w:rPr>
          <w:color w:val="188038"/>
          <w:rtl w:val="0"/>
        </w:rPr>
        <w:t xml:space="preserve">* { box-sizing: border-box;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Maquetación de la Interfaz de Productos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productos.html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Encabezado:</w:t>
      </w:r>
      <w:r w:rsidDel="00000000" w:rsidR="00000000" w:rsidRPr="00000000">
        <w:rPr>
          <w:rtl w:val="0"/>
        </w:rPr>
        <w:t xml:space="preserve"> Se agregó la marca con el logo y el bloque </w:t>
      </w:r>
      <w:r w:rsidDel="00000000" w:rsidR="00000000" w:rsidRPr="00000000">
        <w:rPr>
          <w:color w:val="188038"/>
          <w:rtl w:val="0"/>
        </w:rPr>
        <w:t xml:space="preserve">.usuario</w:t>
      </w:r>
      <w:r w:rsidDel="00000000" w:rsidR="00000000" w:rsidRPr="00000000">
        <w:rPr>
          <w:rtl w:val="0"/>
        </w:rPr>
        <w:t xml:space="preserve"> con el nombre de usuario y el botón/enlace de cierre de sesión.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Navegación:</w:t>
      </w:r>
      <w:r w:rsidDel="00000000" w:rsidR="00000000" w:rsidRPr="00000000">
        <w:rPr>
          <w:rtl w:val="0"/>
        </w:rPr>
        <w:t xml:space="preserve"> Se aplicó la clase </w:t>
      </w:r>
      <w:r w:rsidDel="00000000" w:rsidR="00000000" w:rsidRPr="00000000">
        <w:rPr>
          <w:color w:val="188038"/>
          <w:rtl w:val="0"/>
        </w:rPr>
        <w:t xml:space="preserve">.activo</w:t>
      </w:r>
      <w:r w:rsidDel="00000000" w:rsidR="00000000" w:rsidRPr="00000000">
        <w:rPr>
          <w:rtl w:val="0"/>
        </w:rPr>
        <w:t xml:space="preserve"> al enlace correspondiente a la vista actual para diferenciar el estado en el menú.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Tabla de Inventario:</w:t>
      </w:r>
      <w:r w:rsidDel="00000000" w:rsidR="00000000" w:rsidRPr="00000000">
        <w:rPr>
          <w:rtl w:val="0"/>
        </w:rPr>
        <w:t xml:space="preserve"> Se aplicaron estilos a </w:t>
      </w:r>
      <w:r w:rsidDel="00000000" w:rsidR="00000000" w:rsidRPr="00000000">
        <w:rPr>
          <w:color w:val="188038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&lt;thead&gt;</w:t>
      </w:r>
      <w:r w:rsidDel="00000000" w:rsidR="00000000" w:rsidRPr="00000000">
        <w:rPr>
          <w:rtl w:val="0"/>
        </w:rPr>
        <w:t xml:space="preserve"> (con </w:t>
      </w:r>
      <w:r w:rsidDel="00000000" w:rsidR="00000000" w:rsidRPr="00000000">
        <w:rPr>
          <w:color w:val="188038"/>
          <w:rtl w:val="0"/>
        </w:rPr>
        <w:t xml:space="preserve">--color-marca</w:t>
      </w:r>
      <w:r w:rsidDel="00000000" w:rsidR="00000000" w:rsidRPr="00000000">
        <w:rPr>
          <w:rtl w:val="0"/>
        </w:rPr>
        <w:t xml:space="preserve">), filas alternas (</w:t>
      </w:r>
      <w:r w:rsidDel="00000000" w:rsidR="00000000" w:rsidRPr="00000000">
        <w:rPr>
          <w:color w:val="188038"/>
          <w:rtl w:val="0"/>
        </w:rPr>
        <w:t xml:space="preserve">tr:nth-child(even)</w:t>
      </w:r>
      <w:r w:rsidDel="00000000" w:rsidR="00000000" w:rsidRPr="00000000">
        <w:rPr>
          <w:rtl w:val="0"/>
        </w:rPr>
        <w:t xml:space="preserve">), realce al pasar el puntero (</w:t>
      </w:r>
      <w:r w:rsidDel="00000000" w:rsidR="00000000" w:rsidRPr="00000000">
        <w:rPr>
          <w:color w:val="188038"/>
          <w:rtl w:val="0"/>
        </w:rPr>
        <w:t xml:space="preserve">tr:hover</w:t>
      </w:r>
      <w:r w:rsidDel="00000000" w:rsidR="00000000" w:rsidRPr="00000000">
        <w:rPr>
          <w:rtl w:val="0"/>
        </w:rPr>
        <w:t xml:space="preserve">) y estilos para los botones de editar/eliminar.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Formulario de Registro:</w:t>
      </w:r>
      <w:r w:rsidDel="00000000" w:rsidR="00000000" w:rsidRPr="00000000">
        <w:rPr>
          <w:rtl w:val="0"/>
        </w:rPr>
        <w:t xml:space="preserve"> Se maquetaron los controles </w:t>
      </w:r>
      <w:r w:rsidDel="00000000" w:rsidR="00000000" w:rsidRPr="00000000">
        <w:rPr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&lt;select&gt;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&lt;button type="submit"&gt;</w:t>
      </w:r>
      <w:r w:rsidDel="00000000" w:rsidR="00000000" w:rsidRPr="00000000">
        <w:rPr>
          <w:rtl w:val="0"/>
        </w:rPr>
        <w:t xml:space="preserve"> con sus estados normal, </w:t>
      </w:r>
      <w:r w:rsidDel="00000000" w:rsidR="00000000" w:rsidRPr="00000000">
        <w:rPr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 utilizando exclusivamente los tokens de color (</w:t>
      </w:r>
      <w:r w:rsidDel="00000000" w:rsidR="00000000" w:rsidRPr="00000000">
        <w:rPr>
          <w:color w:val="188038"/>
          <w:rtl w:val="0"/>
        </w:rPr>
        <w:t xml:space="preserve">--color-accion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--color-acento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--superficie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 Tipográfica y Especificidad: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aplicó la escala tipográfica en unidades </w:t>
      </w:r>
      <w:r w:rsidDel="00000000" w:rsidR="00000000" w:rsidRPr="00000000">
        <w:rPr>
          <w:color w:val="188038"/>
          <w:rtl w:val="0"/>
        </w:rPr>
        <w:t xml:space="preserve">rem</w:t>
      </w:r>
      <w:r w:rsidDel="00000000" w:rsidR="00000000" w:rsidRPr="00000000">
        <w:rPr>
          <w:rtl w:val="0"/>
        </w:rPr>
        <w:t xml:space="preserve"> para mantener proporciones dinámicas en encabezados y etiquetas.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Se desarrolló la prueba diagnóstica en </w:t>
      </w:r>
      <w:r w:rsidDel="00000000" w:rsidR="00000000" w:rsidRPr="00000000">
        <w:rPr>
          <w:color w:val="188038"/>
          <w:rtl w:val="0"/>
        </w:rPr>
        <w:t xml:space="preserve">ejercicio-especificidad.html</w:t>
      </w:r>
      <w:r w:rsidDel="00000000" w:rsidR="00000000" w:rsidRPr="00000000">
        <w:rPr>
          <w:rtl w:val="0"/>
        </w:rPr>
        <w:t xml:space="preserve">, confirmando que el selector </w:t>
      </w:r>
      <w:r w:rsidDel="00000000" w:rsidR="00000000" w:rsidRPr="00000000">
        <w:rPr>
          <w:color w:val="188038"/>
          <w:rtl w:val="0"/>
        </w:rPr>
        <w:t xml:space="preserve">#menu .tarjeta p</w:t>
      </w:r>
      <w:r w:rsidDel="00000000" w:rsidR="00000000" w:rsidRPr="00000000">
        <w:rPr>
          <w:rtl w:val="0"/>
        </w:rPr>
        <w:t xml:space="preserve"> (peso 1-1-1) sobrescribe las reglas menos específicas.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