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sz w:val="20"/>
          <w:szCs w:val="20"/>
        </w:rPr>
      </w:pPr>
      <w:bookmarkStart w:colFirst="0" w:colLast="0" w:name="_gkvfeord9ngx" w:id="0"/>
      <w:bookmarkEnd w:id="0"/>
      <w:r w:rsidDel="00000000" w:rsidR="00000000" w:rsidRPr="00000000">
        <w:rPr>
          <w:sz w:val="20"/>
          <w:szCs w:val="20"/>
          <w:rtl w:val="0"/>
        </w:rPr>
        <w:t xml:space="preserve">1. Identificación del Aprendiz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5565"/>
        <w:tblGridChange w:id="0">
          <w:tblGrid>
            <w:gridCol w:w="3255"/>
            <w:gridCol w:w="5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Carlos Javier Figuera Vegas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5699696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3428392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16 de septiembre de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Lunes 28 de septiembre de 2026 · 5:00 p. 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Teams — tarea asignada al aprendiz en el equipo del programa.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sistema de información que cumpla con los requisitos de la solución informática.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de aprendizaje por 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Construir interfaces de usuario aplicando principios de diseño visual y accesibilidad.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Codificar módulos del sistema con control de acceso, persistencia y generación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0" w:lineRule="auto"/>
        <w:rPr>
          <w:b w:val="1"/>
          <w:bCs w:val="1"/>
          <w:sz w:val="30"/>
          <w:szCs w:val="30"/>
        </w:rPr>
      </w:pPr>
      <w:bookmarkStart w:colFirst="0" w:colLast="0" w:name="_77dv2gmk5vmx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Actividad 1: Definición de Marca y Logo (ISOT)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Software / Marca:</w:t>
      </w:r>
      <w:r w:rsidDel="00000000" w:rsidR="00000000" w:rsidRPr="00000000">
        <w:rPr>
          <w:rtl w:val="0"/>
        </w:rPr>
        <w:t xml:space="preserve"> ISOT - Panel de gestión de tienda tecnológica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 archivo en el repositorio: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/assets/img/logo.svg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Formatos generados:</w:t>
      </w:r>
      <w:r w:rsidDel="00000000" w:rsidR="00000000" w:rsidRPr="00000000">
        <w:rPr>
          <w:rtl w:val="0"/>
        </w:rPr>
        <w:t xml:space="preserve"> Vectorial (</w:t>
      </w:r>
      <w:r w:rsidDel="00000000" w:rsidR="00000000" w:rsidRPr="00000000">
        <w:rPr>
          <w:color w:val="188038"/>
          <w:rtl w:val="0"/>
        </w:rPr>
        <w:t xml:space="preserve">.svg</w:t>
      </w:r>
      <w:r w:rsidDel="00000000" w:rsidR="00000000" w:rsidRPr="00000000">
        <w:rPr>
          <w:rtl w:val="0"/>
        </w:rPr>
        <w:t xml:space="preserve">) y Mapa de bits (</w:t>
      </w:r>
      <w:r w:rsidDel="00000000" w:rsidR="00000000" w:rsidRPr="00000000">
        <w:rPr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0" w:lineRule="auto"/>
        <w:rPr>
          <w:b w:val="1"/>
          <w:bCs w:val="1"/>
          <w:sz w:val="32"/>
          <w:szCs w:val="32"/>
        </w:rPr>
      </w:pPr>
      <w:bookmarkStart w:colFirst="0" w:colLast="0" w:name="_x8sp7b6pcw8z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Actividad 2: Paleta de Tokens de Diseño (</w:t>
      </w:r>
      <w:r w:rsidDel="00000000" w:rsidR="00000000" w:rsidRPr="00000000">
        <w:rPr>
          <w:b w:val="1"/>
          <w:bCs w:val="1"/>
          <w:color w:val="188038"/>
          <w:sz w:val="32"/>
          <w:szCs w:val="32"/>
          <w:rtl w:val="0"/>
        </w:rPr>
        <w:t xml:space="preserve">css/tokens.css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Se estructuraron las variables globales en </w:t>
      </w:r>
      <w:r w:rsidDel="00000000" w:rsidR="00000000" w:rsidRPr="00000000">
        <w:rPr>
          <w:color w:val="188038"/>
          <w:rtl w:val="0"/>
        </w:rPr>
        <w:t xml:space="preserve">css/tokens.css</w:t>
      </w:r>
      <w:r w:rsidDel="00000000" w:rsidR="00000000" w:rsidRPr="00000000">
        <w:rPr>
          <w:rtl w:val="0"/>
        </w:rPr>
        <w:t xml:space="preserve"> aplicando la regla de distribución </w:t>
      </w:r>
      <w:r w:rsidDel="00000000" w:rsidR="00000000" w:rsidRPr="00000000">
        <w:rPr>
          <w:b w:val="1"/>
          <w:bCs w:val="1"/>
          <w:rtl w:val="0"/>
        </w:rPr>
        <w:t xml:space="preserve">60-30-10</w:t>
      </w:r>
      <w:r w:rsidDel="00000000" w:rsidR="00000000" w:rsidRPr="00000000">
        <w:rPr>
          <w:rtl w:val="0"/>
        </w:rPr>
        <w:t xml:space="preserve"> e implementando tokens con nomenclatura por función: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Neutros — el 60 % de la pantalla. Base acromática cálida que acompaña el amarillo del logo */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--superficie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#FAF9F4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--superficie-alta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--borde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#E3DFD3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Marca — el 30 %. Los dos colores del logo ISoT: el negro de la marca y la tinta clara del amarillo */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--color-marca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#1A1A1A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--color-marca-sua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#FFF3C4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Acción y acento — el 10 %. Un solo matiz saturado (hue 47°): el amarillo del logo */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--color-accion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#F7C52A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--color-accion-oscura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#DFAB00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--color-accion-texto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#1A1A1A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10.75:1 sobre el amarillo */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--color-acento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#7A5400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dorado oscuro del mismo matiz, 6.78:1 sobre blanco */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Texto */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#1A1A1A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16.51:1 sobre --superficie */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--texto-tenue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#4D4D4D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8.02:1 sobre --superficie */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Semánticos: color + ícono + texto. Cada matiz cumple AA como texto sobre blanco y sobre su fondo suave */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--exito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#1E6B26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6.59:1 sobre blanco · 5.76:1 sobre --exito-sua */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--advertencia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#945200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6.06:1 sobre blanco · 5.34:1 sobre --advertencia-sua */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#B3261E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6.54:1 sobre blanco · 5.36:1 sobre --error-sua */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#15506B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8.78:1 sobre blanco · 7.44:1 sobre --info-sua */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Fondos suaves para las etiquetas semánticas (texto del estado en el matiz oscuro) */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--exito-sua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#E7F3E4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--advertencia-sua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#FBEFDF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--error-sua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#F9E4E2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--info-sua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#E3EEF3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amwo99umxs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3: Verificación de Contraste y Accesibilidad (WCAG 2.1)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Todas las combinaciones de elementos legibles fueron evaluadas en la herramienta </w:t>
      </w:r>
      <w:r w:rsidDel="00000000" w:rsidR="00000000" w:rsidRPr="00000000">
        <w:rPr>
          <w:b w:val="1"/>
          <w:bCs w:val="1"/>
          <w:rtl w:val="0"/>
        </w:rPr>
        <w:t xml:space="preserve">WebAIM Contrast Checker</w:t>
      </w:r>
      <w:r w:rsidDel="00000000" w:rsidR="00000000" w:rsidRPr="00000000">
        <w:rPr>
          <w:rtl w:val="0"/>
        </w:rPr>
        <w:t xml:space="preserve"> para verificar el cumplimiento del nivel mínimo legal de contraste </w:t>
      </w:r>
      <w:r w:rsidDel="00000000" w:rsidR="00000000" w:rsidRPr="00000000">
        <w:rPr>
          <w:b w:val="1"/>
          <w:bCs w:val="1"/>
          <w:rtl w:val="0"/>
        </w:rPr>
        <w:t xml:space="preserve">AA (4.5:1)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64tbcq7gy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Resumen de Verificación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890"/>
        <w:gridCol w:w="1950"/>
        <w:gridCol w:w="1515"/>
        <w:gridCol w:w="1995"/>
        <w:tblGridChange w:id="0">
          <w:tblGrid>
            <w:gridCol w:w="1770"/>
            <w:gridCol w:w="1890"/>
            <w:gridCol w:w="1950"/>
            <w:gridCol w:w="1515"/>
            <w:gridCol w:w="19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de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Texto (Foreground)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Fondo (Background)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de Contraste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WCAG 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#1A1A1A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--texto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#FAF9F4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--superficie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16.51:1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  <w:t xml:space="preserve"> (Pasa)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tenue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#4D4D4D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--texto-tenue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#FAF9F4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--superficie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8.02:1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  <w:t xml:space="preserve"> (Pasa)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Botón de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#1A1A1A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--color-accion-texto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#F7C52A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--color-accion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10.75:1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  <w:t xml:space="preserve"> (Pasa)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Dorado acento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#7A5400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--color-acento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--superficie-alta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6.78:1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  <w:t xml:space="preserve"> (Pasa $\ge$ 4.5:1)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#1E6B26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--exito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#E7F3E4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--exito-sua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5.76:1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  <w:t xml:space="preserve"> (Pasa $\ge$ 4.5:1)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Advertencia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#945200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--advertencia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#FBEFDF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--advertencia-sua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5.34:1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  <w:t xml:space="preserve"> (Pasa $\ge$ 4.5:1)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#B3261E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--error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#F9E4E2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--error-sua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5.36:1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  <w:t xml:space="preserve"> (Pasa $\ge$ 4.5:1)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