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CA2C" w14:textId="6C5BBFED" w:rsidR="00D15927" w:rsidRDefault="00000000">
      <w:r>
        <w:rPr>
          <w:b/>
          <w:bCs/>
        </w:rPr>
        <w:t>Autor</w:t>
      </w:r>
      <w:r>
        <w:t xml:space="preserve">: </w:t>
      </w:r>
      <w:r w:rsidR="000B0F30" w:rsidRPr="000B0F30">
        <w:t>Carlos Jiménez Crespo</w:t>
      </w:r>
    </w:p>
    <w:p w14:paraId="174ED001" w14:textId="77777777" w:rsidR="00D15927" w:rsidRDefault="00000000">
      <w:r>
        <w:rPr>
          <w:b/>
          <w:bCs/>
        </w:rPr>
        <w:t>Tutora</w:t>
      </w:r>
      <w:r>
        <w:t>: Katia Leal Algara — T.U. Arquitectura y Tecnología de Computadores</w:t>
      </w:r>
    </w:p>
    <w:p w14:paraId="458E7DEB" w14:textId="77777777" w:rsidR="00D15927" w:rsidRDefault="00000000">
      <w:r>
        <w:rPr>
          <w:b/>
          <w:bCs/>
        </w:rPr>
        <w:t>Titulación</w:t>
      </w:r>
      <w:r>
        <w:t>: Grado en Ingeniería Informática</w:t>
      </w:r>
    </w:p>
    <w:p w14:paraId="06818C1F" w14:textId="77777777" w:rsidR="00D15927" w:rsidRDefault="00000000">
      <w:r>
        <w:rPr>
          <w:b/>
          <w:bCs/>
        </w:rPr>
        <w:t>Título</w:t>
      </w:r>
      <w:r>
        <w:t>: JoularJX: Análisis y evaluación de una herramienta para la medición del consumo energético del software</w:t>
      </w:r>
    </w:p>
    <w:p w14:paraId="32E93C62" w14:textId="77777777" w:rsidR="00D15927" w:rsidRDefault="00D15927"/>
    <w:p w14:paraId="38BE3B24" w14:textId="77777777" w:rsidR="00D15927" w:rsidRDefault="00000000">
      <w:pPr>
        <w:rPr>
          <w:b/>
          <w:bCs/>
        </w:rPr>
      </w:pPr>
      <w:r>
        <w:rPr>
          <w:b/>
          <w:bCs/>
        </w:rPr>
        <w:t>1. Introducción</w:t>
      </w:r>
    </w:p>
    <w:p w14:paraId="74EFAF1D"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El consumo energético del software es una problemática de creciente relevancia en el contexto de la sostenibilidad digital. Aunque se han producido avances significativos en la eficiencia energética del hardware, el software raramente se diseña o evalúa teniendo en cuenta su huella energética. Esta situación tiene un impacto real en el consumo de los dispositivos de usuario y en la infraestructura de cómputo global.</w:t>
      </w:r>
    </w:p>
    <w:p w14:paraId="2A1DDFFA"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 xml:space="preserve">En este contexto, </w:t>
      </w:r>
      <w:r>
        <w:rPr>
          <w:rStyle w:val="Fuerte"/>
          <w:rFonts w:ascii="Segoe UI" w:hAnsi="Segoe UI" w:cs="Segoe UI"/>
          <w:sz w:val="21"/>
          <w:szCs w:val="21"/>
        </w:rPr>
        <w:t>JoularJX</w:t>
      </w:r>
      <w:r>
        <w:rPr>
          <w:rFonts w:ascii="Segoe UI" w:hAnsi="Segoe UI" w:cs="Segoe UI"/>
          <w:sz w:val="21"/>
          <w:szCs w:val="21"/>
        </w:rPr>
        <w:t xml:space="preserve"> es un agente Java de código abierto, desarrollado en la Universidad de Pau (Francia) por el Dr. Adel Noureddine, que permite medir el consumo energético de aplicaciones Java a nivel de método de forma no intrusiva, sin modificar el código fuente de la aplicación monitorizada. JoularJX se engancha a la JVM en el arranque y, mediante muestreo estadístico del stacktrace activo, atribuye a cada método la energía consumida por el proceso durante su ejecución. Es compatible con Windows, Linux y macOS, y está activamente mantenida (última versión: 3.1.0, febrero 2026).</w:t>
      </w:r>
    </w:p>
    <w:p w14:paraId="572637C9"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 xml:space="preserve">Este Trabajo Fin de Grado propone estudiar JoularJX en profundidad y aplicarla a un caso de experimentación concreto: la comparación del consumo energético de </w:t>
      </w:r>
      <w:r>
        <w:rPr>
          <w:rStyle w:val="Fuerte"/>
          <w:rFonts w:ascii="Segoe UI" w:hAnsi="Segoe UI" w:cs="Segoe UI"/>
          <w:sz w:val="21"/>
          <w:szCs w:val="21"/>
        </w:rPr>
        <w:t>Jackson</w:t>
      </w:r>
      <w:r>
        <w:rPr>
          <w:rFonts w:ascii="Segoe UI" w:hAnsi="Segoe UI" w:cs="Segoe UI"/>
          <w:sz w:val="21"/>
          <w:szCs w:val="21"/>
        </w:rPr>
        <w:t xml:space="preserve"> y </w:t>
      </w:r>
      <w:r>
        <w:rPr>
          <w:rStyle w:val="Fuerte"/>
          <w:rFonts w:ascii="Segoe UI" w:hAnsi="Segoe UI" w:cs="Segoe UI"/>
          <w:sz w:val="21"/>
          <w:szCs w:val="21"/>
        </w:rPr>
        <w:t>Gson</w:t>
      </w:r>
      <w:r>
        <w:rPr>
          <w:rFonts w:ascii="Segoe UI" w:hAnsi="Segoe UI" w:cs="Segoe UI"/>
          <w:sz w:val="21"/>
          <w:szCs w:val="21"/>
        </w:rPr>
        <w:t>, las dos librerías Java de procesamiento de JSON más utilizadas. Ambas resuelven el mismo problema funcional —serializar y deserializar objetos Java a formato JSON— pero con arquitecturas internas radicalmente distintas, lo que las convierte en un caso de estudio ideal para analizar cómo decisiones de diseño del software impactan en su eficiencia energética.</w:t>
      </w:r>
    </w:p>
    <w:p w14:paraId="7036FC2C" w14:textId="77777777" w:rsidR="00D15927" w:rsidRDefault="00000000">
      <w:pPr>
        <w:rPr>
          <w:b/>
          <w:bCs/>
        </w:rPr>
      </w:pPr>
      <w:r>
        <w:rPr>
          <w:b/>
          <w:bCs/>
        </w:rPr>
        <w:t>2. Objetivos y campo de aplicación</w:t>
      </w:r>
    </w:p>
    <w:p w14:paraId="0875223E" w14:textId="77777777" w:rsidR="00D15927" w:rsidRDefault="00000000">
      <w:pPr>
        <w:spacing w:before="100" w:beforeAutospacing="1" w:after="100" w:afterAutospacing="1" w:line="300" w:lineRule="atLeast"/>
        <w:rPr>
          <w:rFonts w:ascii="Segoe UI" w:hAnsi="Segoe UI" w:cs="Segoe UI"/>
          <w:b/>
          <w:bCs/>
          <w:sz w:val="22"/>
          <w:szCs w:val="22"/>
        </w:rPr>
      </w:pPr>
      <w:r>
        <w:rPr>
          <w:b/>
          <w:bCs/>
          <w:sz w:val="22"/>
          <w:szCs w:val="22"/>
        </w:rPr>
        <w:t>Objetivo general</w:t>
      </w:r>
    </w:p>
    <w:p w14:paraId="10AF5A8D"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Analizar y evaluar JoularJX como herramienta para la medición del consumo energético de aplicaciones Java, aplicándola a la comparación de dos librerías de código abierto ampliamente utilizadas que resuelven el mismo problema funcional.</w:t>
      </w:r>
    </w:p>
    <w:p w14:paraId="32318547" w14:textId="77777777" w:rsidR="00D15927" w:rsidRDefault="00000000">
      <w:pPr>
        <w:spacing w:before="100" w:beforeAutospacing="1" w:after="100" w:afterAutospacing="1" w:line="300" w:lineRule="atLeast"/>
        <w:rPr>
          <w:rFonts w:ascii="Segoe UI" w:hAnsi="Segoe UI" w:cs="Segoe UI"/>
          <w:b/>
          <w:bCs/>
          <w:sz w:val="22"/>
          <w:szCs w:val="22"/>
        </w:rPr>
      </w:pPr>
      <w:r>
        <w:rPr>
          <w:b/>
          <w:bCs/>
          <w:sz w:val="22"/>
          <w:szCs w:val="22"/>
        </w:rPr>
        <w:t>Objetivos específicos</w:t>
      </w:r>
    </w:p>
    <w:p w14:paraId="30D2B528" w14:textId="77777777" w:rsidR="00D15927" w:rsidRDefault="00000000">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Comprender cómo mide JoularJX el consumo energético a nivel de método Java: arquitectura de agente, muestreo de stacktrace, fuentes de datos (RAPL, PowerMonitor para Windows) y formatos de salida.</w:t>
      </w:r>
    </w:p>
    <w:p w14:paraId="1E7C9A7F" w14:textId="77777777" w:rsidR="00D15927" w:rsidRDefault="00000000">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Instalar y configurar JoularJX en un entorno Windows 11, documentando el proceso paso a paso.</w:t>
      </w:r>
    </w:p>
    <w:p w14:paraId="2D3FC13F" w14:textId="77777777" w:rsidR="00D15927" w:rsidRDefault="00000000">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Preparar un banco de pruebas reproducible sobre las librerías Jackson y Gson que permita medir su consumo energético en operaciones equivalentes de serialización y deserialización de JSON.</w:t>
      </w:r>
    </w:p>
    <w:p w14:paraId="01E54FD4" w14:textId="77777777" w:rsidR="00D15927" w:rsidRDefault="00000000">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Ejecutar las mediciones con JoularJX, analizar los resultados (consumo total, consumo por método, hotspots energéticos) y comparar ambas librerías.</w:t>
      </w:r>
    </w:p>
    <w:p w14:paraId="5534257F" w14:textId="77777777" w:rsidR="00D15927" w:rsidRDefault="00000000">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Evaluar las limitaciones de JoularJX: precisión del muestreo, overhead del agente y variabilidad de las mediciones entre ejecuciones.</w:t>
      </w:r>
    </w:p>
    <w:p w14:paraId="4C8F5CCB" w14:textId="77777777" w:rsidR="00D15927" w:rsidRDefault="00000000">
      <w:pPr>
        <w:spacing w:line="300" w:lineRule="atLeast"/>
        <w:rPr>
          <w:rFonts w:ascii="Segoe UI" w:hAnsi="Segoe UI" w:cs="Segoe UI"/>
          <w:b/>
          <w:bCs/>
          <w:sz w:val="21"/>
          <w:szCs w:val="21"/>
        </w:rPr>
      </w:pPr>
      <w:r>
        <w:rPr>
          <w:b/>
          <w:bCs/>
        </w:rPr>
        <w:t>Campo de aplicación</w:t>
      </w:r>
    </w:p>
    <w:p w14:paraId="32E7B88E"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El TFG se enmarca en el área de ingeniería del software sostenible. Los resultados son de interés para desarrolladores Java, arquitectos de software y cualquier organización que quiera tomar decisiones informadas sobre qué librerías usar en función de su eficiencia energética. No está sujeto a ningún acuerdo de confidencialidad.</w:t>
      </w:r>
    </w:p>
    <w:p w14:paraId="7E9FED22" w14:textId="77777777" w:rsidR="00D15927" w:rsidRDefault="00000000">
      <w:pPr>
        <w:rPr>
          <w:b/>
          <w:bCs/>
        </w:rPr>
      </w:pPr>
      <w:r>
        <w:rPr>
          <w:b/>
          <w:bCs/>
        </w:rPr>
        <w:t>3. Descripción del trabajo</w:t>
      </w:r>
    </w:p>
    <w:p w14:paraId="5859317A"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El trabajo se estructura en tres bloques: estudio teórico de JoularJX, configuración del entorno experimental y experimentación comparativa entre Jackson y Gson. Los componentes principales son:</w:t>
      </w:r>
    </w:p>
    <w:p w14:paraId="70CC0689" w14:textId="77777777" w:rsidR="00D15927" w:rsidRDefault="00000000">
      <w:pPr>
        <w:pStyle w:val="NormalWeb"/>
        <w:numPr>
          <w:ilvl w:val="0"/>
          <w:numId w:val="14"/>
        </w:numPr>
        <w:spacing w:line="300" w:lineRule="atLeast"/>
        <w:rPr>
          <w:rFonts w:ascii="Segoe UI" w:hAnsi="Segoe UI" w:cs="Segoe UI"/>
          <w:b/>
          <w:bCs/>
          <w:sz w:val="21"/>
          <w:szCs w:val="21"/>
        </w:rPr>
      </w:pPr>
      <w:r>
        <w:rPr>
          <w:b/>
          <w:bCs/>
        </w:rPr>
        <w:t>Estudio de JoularJX</w:t>
      </w:r>
    </w:p>
    <w:p w14:paraId="5E23A137"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 xml:space="preserve">Revisión de los papers originales de JoularJX, estudio de su arquitectura interna como agente Java (API </w:t>
      </w:r>
      <w:proofErr w:type="gramStart"/>
      <w:r>
        <w:rPr>
          <w:rFonts w:ascii="Segoe UI" w:hAnsi="Segoe UI" w:cs="Segoe UI"/>
          <w:sz w:val="21"/>
          <w:szCs w:val="21"/>
        </w:rPr>
        <w:t>java.lang</w:t>
      </w:r>
      <w:proofErr w:type="gramEnd"/>
      <w:r>
        <w:rPr>
          <w:rFonts w:ascii="Segoe UI" w:hAnsi="Segoe UI" w:cs="Segoe UI"/>
          <w:sz w:val="21"/>
          <w:szCs w:val="21"/>
        </w:rPr>
        <w:t>.instrument), mecanismo de muestreo de stacktrace, fuentes de energía según plataforma y formato de salida CSV.</w:t>
      </w:r>
    </w:p>
    <w:p w14:paraId="17ECA71B" w14:textId="77777777" w:rsidR="00D15927" w:rsidRDefault="00000000">
      <w:pPr>
        <w:pStyle w:val="NormalWeb"/>
        <w:numPr>
          <w:ilvl w:val="0"/>
          <w:numId w:val="14"/>
        </w:numPr>
        <w:spacing w:line="300" w:lineRule="atLeast"/>
        <w:rPr>
          <w:rFonts w:ascii="Segoe UI" w:hAnsi="Segoe UI" w:cs="Segoe UI"/>
          <w:b/>
          <w:bCs/>
          <w:sz w:val="21"/>
          <w:szCs w:val="21"/>
        </w:rPr>
      </w:pPr>
      <w:r>
        <w:rPr>
          <w:b/>
          <w:bCs/>
        </w:rPr>
        <w:t>Instalación y configuración del entorno</w:t>
      </w:r>
    </w:p>
    <w:p w14:paraId="6CD36E67"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Instalación de JoularJX (jar del agente), Power Monitor for Windows (</w:t>
      </w:r>
      <w:proofErr w:type="gramStart"/>
      <w:r>
        <w:rPr>
          <w:rFonts w:ascii="Segoe UI" w:hAnsi="Segoe UI" w:cs="Segoe UI"/>
          <w:sz w:val="21"/>
          <w:szCs w:val="21"/>
        </w:rPr>
        <w:t>driver</w:t>
      </w:r>
      <w:proofErr w:type="gramEnd"/>
      <w:r>
        <w:rPr>
          <w:rFonts w:ascii="Segoe UI" w:hAnsi="Segoe UI" w:cs="Segoe UI"/>
          <w:sz w:val="21"/>
          <w:szCs w:val="21"/>
        </w:rPr>
        <w:t xml:space="preserve"> RAPL de Hubblo), y configuración del fichero </w:t>
      </w:r>
      <w:proofErr w:type="gramStart"/>
      <w:r>
        <w:rPr>
          <w:rFonts w:ascii="Segoe UI" w:hAnsi="Segoe UI" w:cs="Segoe UI"/>
          <w:sz w:val="21"/>
          <w:szCs w:val="21"/>
        </w:rPr>
        <w:t>config.properties</w:t>
      </w:r>
      <w:proofErr w:type="gramEnd"/>
      <w:r>
        <w:rPr>
          <w:rFonts w:ascii="Segoe UI" w:hAnsi="Segoe UI" w:cs="Segoe UI"/>
          <w:sz w:val="21"/>
          <w:szCs w:val="21"/>
        </w:rPr>
        <w:t>. Verificación del funcionamiento con un programa Java de prueba. Descarga de Jackson (FasterXML) y Gson (Google) desde Maven Central.</w:t>
      </w:r>
    </w:p>
    <w:p w14:paraId="063F5D15" w14:textId="77777777" w:rsidR="00D15927" w:rsidRDefault="00000000">
      <w:pPr>
        <w:pStyle w:val="NormalWeb"/>
        <w:numPr>
          <w:ilvl w:val="0"/>
          <w:numId w:val="14"/>
        </w:numPr>
        <w:spacing w:line="300" w:lineRule="atLeast"/>
        <w:rPr>
          <w:rFonts w:ascii="Segoe UI" w:hAnsi="Segoe UI" w:cs="Segoe UI"/>
          <w:b/>
          <w:bCs/>
          <w:sz w:val="21"/>
          <w:szCs w:val="21"/>
        </w:rPr>
      </w:pPr>
      <w:r>
        <w:rPr>
          <w:b/>
          <w:bCs/>
        </w:rPr>
        <w:t>Diseño del banco de pruebas</w:t>
      </w:r>
    </w:p>
    <w:p w14:paraId="47E2A540"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t>Diseño de un conjunto de casos de prueba equivalentes para ambas librerías: serialización y deserialización de objetos simples y complejos, con diferentes tamaños de payload (pequeño, mediano, grande). Uso de JMH (Java Microbenchmark Harness) para garantizar condiciones de medición estables y reproducibles.</w:t>
      </w:r>
    </w:p>
    <w:p w14:paraId="5CEA720C" w14:textId="77777777" w:rsidR="00D15927" w:rsidRDefault="00000000">
      <w:pPr>
        <w:pStyle w:val="NormalWeb"/>
        <w:numPr>
          <w:ilvl w:val="0"/>
          <w:numId w:val="14"/>
        </w:numPr>
        <w:spacing w:line="300" w:lineRule="atLeast"/>
        <w:rPr>
          <w:rFonts w:ascii="Segoe UI" w:hAnsi="Segoe UI" w:cs="Segoe UI"/>
          <w:b/>
          <w:bCs/>
          <w:sz w:val="21"/>
          <w:szCs w:val="21"/>
        </w:rPr>
      </w:pPr>
      <w:r>
        <w:rPr>
          <w:b/>
          <w:bCs/>
        </w:rPr>
        <w:t>Experimentación y análisis</w:t>
      </w:r>
    </w:p>
    <w:p w14:paraId="2926227C" w14:textId="77777777" w:rsidR="00D15927" w:rsidRDefault="00000000">
      <w:pPr>
        <w:pStyle w:val="NormalWeb"/>
        <w:spacing w:line="300" w:lineRule="atLeast"/>
        <w:jc w:val="both"/>
        <w:rPr>
          <w:rFonts w:ascii="Segoe UI" w:hAnsi="Segoe UI" w:cs="Segoe UI"/>
          <w:sz w:val="21"/>
          <w:szCs w:val="21"/>
        </w:rPr>
      </w:pPr>
      <w:r>
        <w:rPr>
          <w:rFonts w:ascii="Segoe UI" w:hAnsi="Segoe UI" w:cs="Segoe UI"/>
          <w:sz w:val="21"/>
          <w:szCs w:val="21"/>
        </w:rPr>
        <w:lastRenderedPageBreak/>
        <w:t>Ejecución de JoularJX sobre ambas librerías. Recogida de datos de consumo total (julios), consumo por método y evolución temporal. Repetición de mediciones para verificar estabilidad. Análisis de resultados e identificación de hotspots energéticos. Comparación normalizada por operación (julios por serialización/deserialización).</w:t>
      </w:r>
    </w:p>
    <w:p w14:paraId="3705A6A5" w14:textId="77777777" w:rsidR="00D15927" w:rsidRDefault="00000000">
      <w:pPr>
        <w:rPr>
          <w:b/>
          <w:bCs/>
        </w:rPr>
      </w:pPr>
      <w:r>
        <w:rPr>
          <w:b/>
          <w:bCs/>
        </w:rPr>
        <w:t>4. Metodología y plan de trabajo</w:t>
      </w:r>
    </w:p>
    <w:p w14:paraId="6ED6D93C"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El trabajo seguirá un enfoque incremental con las siguientes etapas:</w:t>
      </w:r>
    </w:p>
    <w:p w14:paraId="4358D612"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Lectura de los papers de JoularJX y de literatura sobre consumo energético de software.</w:t>
      </w:r>
    </w:p>
    <w:p w14:paraId="4219535F"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Instalación de JoularJX y Power Monitor for Windows; verificación del entorno con programa de prueba.</w:t>
      </w:r>
    </w:p>
    <w:p w14:paraId="60A02D64"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Estudio de las arquitecturas de Jackson y Gson; diseño del banco de pruebas con JMH.</w:t>
      </w:r>
    </w:p>
    <w:p w14:paraId="7BFA32E9"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Ejecución de mediciones con JoularJX; repetición para verificar estabilidad; análisis de resultados.</w:t>
      </w:r>
    </w:p>
    <w:p w14:paraId="48800FD4"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Comparación normalizada, evaluación de limitaciones de JoularJX y extracción de conclusiones.</w:t>
      </w:r>
    </w:p>
    <w:p w14:paraId="73EC032A" w14:textId="77777777" w:rsidR="00D15927" w:rsidRDefault="00000000">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Redacción de la memoria final del TFG.</w:t>
      </w:r>
    </w:p>
    <w:p w14:paraId="40426994"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Diagrama de Gantt aproximado (convocatoria junio/julio 2027)</w:t>
      </w:r>
    </w:p>
    <w:p w14:paraId="4ED92E67"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Octubre–noviembre 2026 → Lecturas y estado del arte</w:t>
      </w:r>
    </w:p>
    <w:p w14:paraId="7CD604E0"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Noviembre–diciembre 2026 → Instalación y configuración de JoularJX</w:t>
      </w:r>
    </w:p>
    <w:p w14:paraId="3985EEF3"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Enero 2027 → Diseño del banco de pruebas (Jackson y Gson)</w:t>
      </w:r>
    </w:p>
    <w:p w14:paraId="622CB791"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Febrero–marzo 2027 → Experimentación con JoularJX y análisis de resultados</w:t>
      </w:r>
    </w:p>
    <w:p w14:paraId="688B26F7"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Abril–mayo 2027 → Redacción de la memoria</w:t>
      </w:r>
    </w:p>
    <w:p w14:paraId="3D62C425" w14:textId="77777777" w:rsidR="00D15927" w:rsidRDefault="00000000">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Junio 2027 → Revisión final y defensa</w:t>
      </w:r>
    </w:p>
    <w:p w14:paraId="110BA74C" w14:textId="77777777" w:rsidR="00D15927" w:rsidRDefault="00000000">
      <w:pPr>
        <w:rPr>
          <w:b/>
          <w:bCs/>
        </w:rPr>
      </w:pPr>
      <w:r>
        <w:rPr>
          <w:b/>
          <w:bCs/>
        </w:rPr>
        <w:t>5. Medios</w:t>
      </w:r>
    </w:p>
    <w:p w14:paraId="071DB8A6" w14:textId="77777777" w:rsidR="00D15927" w:rsidRDefault="00000000">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Ordenador con Windows 11, procesador Intel o AMD (desde Ryzen), JDK 11+ y Apache Maven.</w:t>
      </w:r>
    </w:p>
    <w:p w14:paraId="1A4167F6" w14:textId="77777777" w:rsidR="00D15927" w:rsidRDefault="00000000">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JoularJX (agente Java, GPL-3.0): https://github.com/joular/joularjx</w:t>
      </w:r>
    </w:p>
    <w:p w14:paraId="5A3E0FEC" w14:textId="77777777" w:rsidR="00D15927" w:rsidRDefault="00000000">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Power Monitor for Windows (Hubblo, </w:t>
      </w:r>
      <w:proofErr w:type="gramStart"/>
      <w:r>
        <w:rPr>
          <w:rFonts w:ascii="Segoe UI" w:hAnsi="Segoe UI" w:cs="Segoe UI"/>
          <w:sz w:val="21"/>
          <w:szCs w:val="21"/>
        </w:rPr>
        <w:t>driver</w:t>
      </w:r>
      <w:proofErr w:type="gramEnd"/>
      <w:r>
        <w:rPr>
          <w:rFonts w:ascii="Segoe UI" w:hAnsi="Segoe UI" w:cs="Segoe UI"/>
          <w:sz w:val="21"/>
          <w:szCs w:val="21"/>
        </w:rPr>
        <w:t xml:space="preserve"> RAPL para Windows): https://github.com/joular/joularjx</w:t>
      </w:r>
    </w:p>
    <w:p w14:paraId="19F5BC7C" w14:textId="77777777" w:rsidR="00D15927" w:rsidRDefault="00000000">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Jackson Databind (FasterXML, Apache 2.0) y Gson (Google, Apache 2.0): disponibles en Maven Central.</w:t>
      </w:r>
    </w:p>
    <w:p w14:paraId="034C9C2B" w14:textId="77777777" w:rsidR="00D15927" w:rsidRDefault="00000000">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Acceso a bases de datos bibliográficas de la UAH (IEEE Xplore, ACM DL, ScienceDirect). Repositorio Git para control de versiones.</w:t>
      </w:r>
    </w:p>
    <w:p w14:paraId="2D0FDD29"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No se requieren medios hardware específicos ni financiación adicional.</w:t>
      </w:r>
    </w:p>
    <w:p w14:paraId="54A448EF" w14:textId="77777777" w:rsidR="00D15927" w:rsidRDefault="00000000">
      <w:pPr>
        <w:rPr>
          <w:b/>
          <w:bCs/>
        </w:rPr>
      </w:pPr>
      <w:r>
        <w:rPr>
          <w:b/>
          <w:bCs/>
        </w:rPr>
        <w:lastRenderedPageBreak/>
        <w:t>6. Bibliografía</w:t>
      </w:r>
    </w:p>
    <w:p w14:paraId="3D8EDDE7"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 xml:space="preserve">[1] A. Noureddine, “PowerJoular and JoularJX: Multi-Platform Software Power Monitoring Tools”, en </w:t>
      </w:r>
      <w:r>
        <w:rPr>
          <w:rStyle w:val="nfasis"/>
          <w:rFonts w:ascii="Segoe UI" w:hAnsi="Segoe UI" w:cs="Segoe UI"/>
          <w:sz w:val="21"/>
          <w:szCs w:val="21"/>
        </w:rPr>
        <w:t>Proc. 18th Int. Conf. on Intelligent Environments (IE2022)</w:t>
      </w:r>
      <w:r>
        <w:rPr>
          <w:rFonts w:ascii="Segoe UI" w:hAnsi="Segoe UI" w:cs="Segoe UI"/>
          <w:sz w:val="21"/>
          <w:szCs w:val="21"/>
        </w:rPr>
        <w:t>, Biarritz, Francia, 2022.</w:t>
      </w:r>
    </w:p>
    <w:p w14:paraId="2CE3C208"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 xml:space="preserve">[2] A. Noureddine, “JoularJX 3: In-Depth Green Software Analysis Everywhere”, en </w:t>
      </w:r>
      <w:r>
        <w:rPr>
          <w:rStyle w:val="nfasis"/>
          <w:rFonts w:ascii="Segoe UI" w:hAnsi="Segoe UI" w:cs="Segoe UI"/>
          <w:sz w:val="21"/>
          <w:szCs w:val="21"/>
        </w:rPr>
        <w:t>Proc. 11th Int. Conf. on ICT for Sustainability (ICT4S 2025)</w:t>
      </w:r>
      <w:r>
        <w:rPr>
          <w:rFonts w:ascii="Segoe UI" w:hAnsi="Segoe UI" w:cs="Segoe UI"/>
          <w:sz w:val="21"/>
          <w:szCs w:val="21"/>
        </w:rPr>
        <w:t>, Dublín, Irlanda, 2025.</w:t>
      </w:r>
    </w:p>
    <w:p w14:paraId="389781F3"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 xml:space="preserve">[3] A. Noureddine y O. Le Goaër, “Investigating the Impact of Software Design Patterns on Energy Consumption”, en </w:t>
      </w:r>
      <w:r>
        <w:rPr>
          <w:rStyle w:val="nfasis"/>
          <w:rFonts w:ascii="Segoe UI" w:hAnsi="Segoe UI" w:cs="Segoe UI"/>
          <w:sz w:val="21"/>
          <w:szCs w:val="21"/>
        </w:rPr>
        <w:t>Proc. 22nd IEEE Int. Conf. on Software Architecture (ICSA 2025)</w:t>
      </w:r>
      <w:r>
        <w:rPr>
          <w:rFonts w:ascii="Segoe UI" w:hAnsi="Segoe UI" w:cs="Segoe UI"/>
          <w:sz w:val="21"/>
          <w:szCs w:val="21"/>
        </w:rPr>
        <w:t>, Odense, Dinamarca, 2025.</w:t>
      </w:r>
    </w:p>
    <w:p w14:paraId="27612756"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 xml:space="preserve">[4] R. Verdecchia, P. Lago, C. Ebert y C. de Vries, “Green IT and Green Software”, </w:t>
      </w:r>
      <w:r>
        <w:rPr>
          <w:rStyle w:val="nfasis"/>
          <w:rFonts w:ascii="Segoe UI" w:hAnsi="Segoe UI" w:cs="Segoe UI"/>
          <w:sz w:val="21"/>
          <w:szCs w:val="21"/>
        </w:rPr>
        <w:t>IEEE Software</w:t>
      </w:r>
      <w:r>
        <w:rPr>
          <w:rFonts w:ascii="Segoe UI" w:hAnsi="Segoe UI" w:cs="Segoe UI"/>
          <w:sz w:val="21"/>
          <w:szCs w:val="21"/>
        </w:rPr>
        <w:t>, vol. 38, no. 6, pp. 7–15, 2021.</w:t>
      </w:r>
    </w:p>
    <w:p w14:paraId="552EE2D6" w14:textId="77777777" w:rsidR="00D15927" w:rsidRDefault="00000000">
      <w:pPr>
        <w:pStyle w:val="NormalWeb"/>
        <w:spacing w:line="300" w:lineRule="atLeast"/>
        <w:rPr>
          <w:rFonts w:ascii="Segoe UI" w:hAnsi="Segoe UI" w:cs="Segoe UI"/>
          <w:sz w:val="21"/>
          <w:szCs w:val="21"/>
        </w:rPr>
      </w:pPr>
      <w:r>
        <w:rPr>
          <w:rFonts w:ascii="Segoe UI" w:hAnsi="Segoe UI" w:cs="Segoe UI"/>
          <w:sz w:val="21"/>
          <w:szCs w:val="21"/>
        </w:rPr>
        <w:t xml:space="preserve">[5] FasterXML, </w:t>
      </w:r>
      <w:r>
        <w:rPr>
          <w:rStyle w:val="nfasis"/>
          <w:rFonts w:ascii="Segoe UI" w:hAnsi="Segoe UI" w:cs="Segoe UI"/>
          <w:sz w:val="21"/>
          <w:szCs w:val="21"/>
        </w:rPr>
        <w:t>Jackson Project</w:t>
      </w:r>
      <w:r>
        <w:rPr>
          <w:rFonts w:ascii="Segoe UI" w:hAnsi="Segoe UI" w:cs="Segoe UI"/>
          <w:sz w:val="21"/>
          <w:szCs w:val="21"/>
        </w:rPr>
        <w:t xml:space="preserve">, GitHub. https://github.com/FasterXML/jackson — Google, </w:t>
      </w:r>
      <w:r>
        <w:rPr>
          <w:rStyle w:val="nfasis"/>
          <w:rFonts w:ascii="Segoe UI" w:hAnsi="Segoe UI" w:cs="Segoe UI"/>
          <w:sz w:val="21"/>
          <w:szCs w:val="21"/>
        </w:rPr>
        <w:t>Gson</w:t>
      </w:r>
      <w:r>
        <w:rPr>
          <w:rFonts w:ascii="Segoe UI" w:hAnsi="Segoe UI" w:cs="Segoe UI"/>
          <w:sz w:val="21"/>
          <w:szCs w:val="21"/>
        </w:rPr>
        <w:t>, GitHub. https://github.com/google/gson</w:t>
      </w:r>
    </w:p>
    <w:p w14:paraId="02C1085C" w14:textId="77777777" w:rsidR="00D15927" w:rsidRDefault="00D15927"/>
    <w:sectPr w:rsidR="00D1592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3F4FD5"/>
    <w:multiLevelType w:val="multilevel"/>
    <w:tmpl w:val="B23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703BB"/>
    <w:multiLevelType w:val="multilevel"/>
    <w:tmpl w:val="ABC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64B4F"/>
    <w:multiLevelType w:val="multilevel"/>
    <w:tmpl w:val="CBFA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223E7"/>
    <w:multiLevelType w:val="multilevel"/>
    <w:tmpl w:val="1E1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463AE"/>
    <w:multiLevelType w:val="multilevel"/>
    <w:tmpl w:val="A8F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E63FE"/>
    <w:multiLevelType w:val="hybridMultilevel"/>
    <w:tmpl w:val="BFB405C0"/>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 w15:restartNumberingAfterBreak="0">
    <w:nsid w:val="49312DF5"/>
    <w:multiLevelType w:val="hybridMultilevel"/>
    <w:tmpl w:val="B816B222"/>
    <w:lvl w:ilvl="0" w:tplc="040A0017">
      <w:start w:val="1"/>
      <w:numFmt w:val="lowerLetter"/>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4C9B1400"/>
    <w:multiLevelType w:val="multilevel"/>
    <w:tmpl w:val="0A3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13730"/>
    <w:multiLevelType w:val="multilevel"/>
    <w:tmpl w:val="B92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A6132"/>
    <w:multiLevelType w:val="multilevel"/>
    <w:tmpl w:val="0EF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372D8"/>
    <w:multiLevelType w:val="multilevel"/>
    <w:tmpl w:val="51D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D0810"/>
    <w:multiLevelType w:val="multilevel"/>
    <w:tmpl w:val="256C13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189516">
    <w:abstractNumId w:val="8"/>
  </w:num>
  <w:num w:numId="2" w16cid:durableId="1618832146">
    <w:abstractNumId w:val="6"/>
  </w:num>
  <w:num w:numId="3" w16cid:durableId="1133717161">
    <w:abstractNumId w:val="5"/>
  </w:num>
  <w:num w:numId="4" w16cid:durableId="2062172344">
    <w:abstractNumId w:val="4"/>
  </w:num>
  <w:num w:numId="5" w16cid:durableId="281151555">
    <w:abstractNumId w:val="7"/>
  </w:num>
  <w:num w:numId="6" w16cid:durableId="412437285">
    <w:abstractNumId w:val="3"/>
  </w:num>
  <w:num w:numId="7" w16cid:durableId="1374189345">
    <w:abstractNumId w:val="2"/>
  </w:num>
  <w:num w:numId="8" w16cid:durableId="1741058864">
    <w:abstractNumId w:val="1"/>
  </w:num>
  <w:num w:numId="9" w16cid:durableId="491794223">
    <w:abstractNumId w:val="0"/>
  </w:num>
  <w:num w:numId="10" w16cid:durableId="506284394">
    <w:abstractNumId w:val="20"/>
  </w:num>
  <w:num w:numId="11" w16cid:durableId="3943246">
    <w:abstractNumId w:val="13"/>
  </w:num>
  <w:num w:numId="12" w16cid:durableId="572399083">
    <w:abstractNumId w:val="16"/>
  </w:num>
  <w:num w:numId="13" w16cid:durableId="86079484">
    <w:abstractNumId w:val="15"/>
  </w:num>
  <w:num w:numId="14" w16cid:durableId="1648432307">
    <w:abstractNumId w:val="14"/>
  </w:num>
  <w:num w:numId="15" w16cid:durableId="731121701">
    <w:abstractNumId w:val="11"/>
  </w:num>
  <w:num w:numId="16" w16cid:durableId="1933202857">
    <w:abstractNumId w:val="12"/>
  </w:num>
  <w:num w:numId="17" w16cid:durableId="894238900">
    <w:abstractNumId w:val="9"/>
  </w:num>
  <w:num w:numId="18" w16cid:durableId="1640528054">
    <w:abstractNumId w:val="10"/>
  </w:num>
  <w:num w:numId="19" w16cid:durableId="1013534025">
    <w:abstractNumId w:val="17"/>
  </w:num>
  <w:num w:numId="20" w16cid:durableId="617374050">
    <w:abstractNumId w:val="19"/>
  </w:num>
  <w:num w:numId="21" w16cid:durableId="19259180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30"/>
    <w:rsid w:val="0015074B"/>
    <w:rsid w:val="0018139C"/>
    <w:rsid w:val="001824D3"/>
    <w:rsid w:val="001B0F68"/>
    <w:rsid w:val="001B1210"/>
    <w:rsid w:val="001D3F13"/>
    <w:rsid w:val="001F2B5B"/>
    <w:rsid w:val="0029639D"/>
    <w:rsid w:val="00326F90"/>
    <w:rsid w:val="00407E15"/>
    <w:rsid w:val="00496B99"/>
    <w:rsid w:val="004A4CC4"/>
    <w:rsid w:val="0051003B"/>
    <w:rsid w:val="00550116"/>
    <w:rsid w:val="00587B3E"/>
    <w:rsid w:val="006504A0"/>
    <w:rsid w:val="00684A35"/>
    <w:rsid w:val="00700D2A"/>
    <w:rsid w:val="007E6C9B"/>
    <w:rsid w:val="007E6EA1"/>
    <w:rsid w:val="00804ADF"/>
    <w:rsid w:val="0080507D"/>
    <w:rsid w:val="00834A1B"/>
    <w:rsid w:val="0086274A"/>
    <w:rsid w:val="00864C3A"/>
    <w:rsid w:val="00894023"/>
    <w:rsid w:val="008E2CD2"/>
    <w:rsid w:val="009156BD"/>
    <w:rsid w:val="00922669"/>
    <w:rsid w:val="009247C4"/>
    <w:rsid w:val="009773A0"/>
    <w:rsid w:val="009E7ADF"/>
    <w:rsid w:val="00A91775"/>
    <w:rsid w:val="00AA1D8D"/>
    <w:rsid w:val="00AA7E38"/>
    <w:rsid w:val="00B142B5"/>
    <w:rsid w:val="00B47730"/>
    <w:rsid w:val="00BC0B49"/>
    <w:rsid w:val="00BE53FC"/>
    <w:rsid w:val="00C157B1"/>
    <w:rsid w:val="00C321E6"/>
    <w:rsid w:val="00C9576C"/>
    <w:rsid w:val="00CB0664"/>
    <w:rsid w:val="00D15927"/>
    <w:rsid w:val="00D45655"/>
    <w:rsid w:val="00EB4BFE"/>
    <w:rsid w:val="00EC456D"/>
    <w:rsid w:val="00F72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A694A"/>
  <w14:defaultImageDpi w14:val="300"/>
  <w15:docId w15:val="{475D17A1-15F3-EB41-9BB0-375114FF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116"/>
    <w:pPr>
      <w:spacing w:after="0" w:line="240" w:lineRule="auto"/>
    </w:pPr>
    <w:rPr>
      <w:rFonts w:ascii="Times New Roman" w:eastAsia="Times New Roman" w:hAnsi="Times New Roman" w:cs="Times New Roman"/>
      <w:sz w:val="24"/>
      <w:szCs w:val="24"/>
      <w:lang w:val="es-ES" w:eastAsia="es-ES_tradnl"/>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53FC"/>
    <w:pPr>
      <w:spacing w:before="100" w:beforeAutospacing="1" w:after="100" w:afterAutospacing="1"/>
    </w:pPr>
  </w:style>
  <w:style w:type="character" w:styleId="CdigoHTML">
    <w:name w:val="HTML Code"/>
    <w:basedOn w:val="Fuentedeprrafopredeter"/>
    <w:uiPriority w:val="99"/>
    <w:semiHidden/>
    <w:unhideWhenUsed/>
    <w:rsid w:val="00407E15"/>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834A1B"/>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2614">
      <w:bodyDiv w:val="1"/>
      <w:marLeft w:val="0"/>
      <w:marRight w:val="0"/>
      <w:marTop w:val="0"/>
      <w:marBottom w:val="0"/>
      <w:divBdr>
        <w:top w:val="none" w:sz="0" w:space="0" w:color="auto"/>
        <w:left w:val="none" w:sz="0" w:space="0" w:color="auto"/>
        <w:bottom w:val="none" w:sz="0" w:space="0" w:color="auto"/>
        <w:right w:val="none" w:sz="0" w:space="0" w:color="auto"/>
      </w:divBdr>
      <w:divsChild>
        <w:div w:id="1396664204">
          <w:marLeft w:val="0"/>
          <w:marRight w:val="0"/>
          <w:marTop w:val="0"/>
          <w:marBottom w:val="0"/>
          <w:divBdr>
            <w:top w:val="none" w:sz="0" w:space="0" w:color="auto"/>
            <w:left w:val="none" w:sz="0" w:space="0" w:color="auto"/>
            <w:bottom w:val="none" w:sz="0" w:space="0" w:color="auto"/>
            <w:right w:val="none" w:sz="0" w:space="0" w:color="auto"/>
          </w:divBdr>
        </w:div>
      </w:divsChild>
    </w:div>
    <w:div w:id="209998590">
      <w:bodyDiv w:val="1"/>
      <w:marLeft w:val="0"/>
      <w:marRight w:val="0"/>
      <w:marTop w:val="0"/>
      <w:marBottom w:val="0"/>
      <w:divBdr>
        <w:top w:val="none" w:sz="0" w:space="0" w:color="auto"/>
        <w:left w:val="none" w:sz="0" w:space="0" w:color="auto"/>
        <w:bottom w:val="none" w:sz="0" w:space="0" w:color="auto"/>
        <w:right w:val="none" w:sz="0" w:space="0" w:color="auto"/>
      </w:divBdr>
      <w:divsChild>
        <w:div w:id="1593856770">
          <w:marLeft w:val="0"/>
          <w:marRight w:val="0"/>
          <w:marTop w:val="0"/>
          <w:marBottom w:val="0"/>
          <w:divBdr>
            <w:top w:val="none" w:sz="0" w:space="0" w:color="auto"/>
            <w:left w:val="none" w:sz="0" w:space="0" w:color="auto"/>
            <w:bottom w:val="none" w:sz="0" w:space="0" w:color="auto"/>
            <w:right w:val="none" w:sz="0" w:space="0" w:color="auto"/>
          </w:divBdr>
        </w:div>
      </w:divsChild>
    </w:div>
    <w:div w:id="285428414">
      <w:bodyDiv w:val="1"/>
      <w:marLeft w:val="0"/>
      <w:marRight w:val="0"/>
      <w:marTop w:val="0"/>
      <w:marBottom w:val="0"/>
      <w:divBdr>
        <w:top w:val="none" w:sz="0" w:space="0" w:color="auto"/>
        <w:left w:val="none" w:sz="0" w:space="0" w:color="auto"/>
        <w:bottom w:val="none" w:sz="0" w:space="0" w:color="auto"/>
        <w:right w:val="none" w:sz="0" w:space="0" w:color="auto"/>
      </w:divBdr>
      <w:divsChild>
        <w:div w:id="546840782">
          <w:marLeft w:val="0"/>
          <w:marRight w:val="0"/>
          <w:marTop w:val="0"/>
          <w:marBottom w:val="0"/>
          <w:divBdr>
            <w:top w:val="none" w:sz="0" w:space="0" w:color="auto"/>
            <w:left w:val="none" w:sz="0" w:space="0" w:color="auto"/>
            <w:bottom w:val="none" w:sz="0" w:space="0" w:color="auto"/>
            <w:right w:val="none" w:sz="0" w:space="0" w:color="auto"/>
          </w:divBdr>
        </w:div>
      </w:divsChild>
    </w:div>
    <w:div w:id="342978660">
      <w:bodyDiv w:val="1"/>
      <w:marLeft w:val="0"/>
      <w:marRight w:val="0"/>
      <w:marTop w:val="0"/>
      <w:marBottom w:val="0"/>
      <w:divBdr>
        <w:top w:val="none" w:sz="0" w:space="0" w:color="auto"/>
        <w:left w:val="none" w:sz="0" w:space="0" w:color="auto"/>
        <w:bottom w:val="none" w:sz="0" w:space="0" w:color="auto"/>
        <w:right w:val="none" w:sz="0" w:space="0" w:color="auto"/>
      </w:divBdr>
      <w:divsChild>
        <w:div w:id="608394984">
          <w:marLeft w:val="0"/>
          <w:marRight w:val="0"/>
          <w:marTop w:val="0"/>
          <w:marBottom w:val="0"/>
          <w:divBdr>
            <w:top w:val="none" w:sz="0" w:space="0" w:color="auto"/>
            <w:left w:val="none" w:sz="0" w:space="0" w:color="auto"/>
            <w:bottom w:val="none" w:sz="0" w:space="0" w:color="auto"/>
            <w:right w:val="none" w:sz="0" w:space="0" w:color="auto"/>
          </w:divBdr>
        </w:div>
      </w:divsChild>
    </w:div>
    <w:div w:id="491531609">
      <w:bodyDiv w:val="1"/>
      <w:marLeft w:val="0"/>
      <w:marRight w:val="0"/>
      <w:marTop w:val="0"/>
      <w:marBottom w:val="0"/>
      <w:divBdr>
        <w:top w:val="none" w:sz="0" w:space="0" w:color="auto"/>
        <w:left w:val="none" w:sz="0" w:space="0" w:color="auto"/>
        <w:bottom w:val="none" w:sz="0" w:space="0" w:color="auto"/>
        <w:right w:val="none" w:sz="0" w:space="0" w:color="auto"/>
      </w:divBdr>
      <w:divsChild>
        <w:div w:id="1457678881">
          <w:marLeft w:val="0"/>
          <w:marRight w:val="0"/>
          <w:marTop w:val="0"/>
          <w:marBottom w:val="0"/>
          <w:divBdr>
            <w:top w:val="none" w:sz="0" w:space="0" w:color="auto"/>
            <w:left w:val="none" w:sz="0" w:space="0" w:color="auto"/>
            <w:bottom w:val="none" w:sz="0" w:space="0" w:color="auto"/>
            <w:right w:val="none" w:sz="0" w:space="0" w:color="auto"/>
          </w:divBdr>
        </w:div>
      </w:divsChild>
    </w:div>
    <w:div w:id="677928513">
      <w:bodyDiv w:val="1"/>
      <w:marLeft w:val="0"/>
      <w:marRight w:val="0"/>
      <w:marTop w:val="0"/>
      <w:marBottom w:val="0"/>
      <w:divBdr>
        <w:top w:val="none" w:sz="0" w:space="0" w:color="auto"/>
        <w:left w:val="none" w:sz="0" w:space="0" w:color="auto"/>
        <w:bottom w:val="none" w:sz="0" w:space="0" w:color="auto"/>
        <w:right w:val="none" w:sz="0" w:space="0" w:color="auto"/>
      </w:divBdr>
      <w:divsChild>
        <w:div w:id="443428688">
          <w:marLeft w:val="0"/>
          <w:marRight w:val="0"/>
          <w:marTop w:val="0"/>
          <w:marBottom w:val="0"/>
          <w:divBdr>
            <w:top w:val="none" w:sz="0" w:space="0" w:color="auto"/>
            <w:left w:val="none" w:sz="0" w:space="0" w:color="auto"/>
            <w:bottom w:val="none" w:sz="0" w:space="0" w:color="auto"/>
            <w:right w:val="none" w:sz="0" w:space="0" w:color="auto"/>
          </w:divBdr>
        </w:div>
      </w:divsChild>
    </w:div>
    <w:div w:id="842665525">
      <w:bodyDiv w:val="1"/>
      <w:marLeft w:val="0"/>
      <w:marRight w:val="0"/>
      <w:marTop w:val="0"/>
      <w:marBottom w:val="0"/>
      <w:divBdr>
        <w:top w:val="none" w:sz="0" w:space="0" w:color="auto"/>
        <w:left w:val="none" w:sz="0" w:space="0" w:color="auto"/>
        <w:bottom w:val="none" w:sz="0" w:space="0" w:color="auto"/>
        <w:right w:val="none" w:sz="0" w:space="0" w:color="auto"/>
      </w:divBdr>
      <w:divsChild>
        <w:div w:id="34086725">
          <w:marLeft w:val="0"/>
          <w:marRight w:val="0"/>
          <w:marTop w:val="0"/>
          <w:marBottom w:val="0"/>
          <w:divBdr>
            <w:top w:val="none" w:sz="0" w:space="0" w:color="auto"/>
            <w:left w:val="none" w:sz="0" w:space="0" w:color="auto"/>
            <w:bottom w:val="none" w:sz="0" w:space="0" w:color="auto"/>
            <w:right w:val="none" w:sz="0" w:space="0" w:color="auto"/>
          </w:divBdr>
        </w:div>
      </w:divsChild>
    </w:div>
    <w:div w:id="1067921242">
      <w:bodyDiv w:val="1"/>
      <w:marLeft w:val="0"/>
      <w:marRight w:val="0"/>
      <w:marTop w:val="0"/>
      <w:marBottom w:val="0"/>
      <w:divBdr>
        <w:top w:val="none" w:sz="0" w:space="0" w:color="auto"/>
        <w:left w:val="none" w:sz="0" w:space="0" w:color="auto"/>
        <w:bottom w:val="none" w:sz="0" w:space="0" w:color="auto"/>
        <w:right w:val="none" w:sz="0" w:space="0" w:color="auto"/>
      </w:divBdr>
      <w:divsChild>
        <w:div w:id="163280856">
          <w:marLeft w:val="0"/>
          <w:marRight w:val="0"/>
          <w:marTop w:val="0"/>
          <w:marBottom w:val="0"/>
          <w:divBdr>
            <w:top w:val="none" w:sz="0" w:space="0" w:color="auto"/>
            <w:left w:val="none" w:sz="0" w:space="0" w:color="auto"/>
            <w:bottom w:val="none" w:sz="0" w:space="0" w:color="auto"/>
            <w:right w:val="none" w:sz="0" w:space="0" w:color="auto"/>
          </w:divBdr>
        </w:div>
      </w:divsChild>
    </w:div>
    <w:div w:id="1256288224">
      <w:bodyDiv w:val="1"/>
      <w:marLeft w:val="0"/>
      <w:marRight w:val="0"/>
      <w:marTop w:val="0"/>
      <w:marBottom w:val="0"/>
      <w:divBdr>
        <w:top w:val="none" w:sz="0" w:space="0" w:color="auto"/>
        <w:left w:val="none" w:sz="0" w:space="0" w:color="auto"/>
        <w:bottom w:val="none" w:sz="0" w:space="0" w:color="auto"/>
        <w:right w:val="none" w:sz="0" w:space="0" w:color="auto"/>
      </w:divBdr>
      <w:divsChild>
        <w:div w:id="1810394965">
          <w:marLeft w:val="0"/>
          <w:marRight w:val="0"/>
          <w:marTop w:val="0"/>
          <w:marBottom w:val="0"/>
          <w:divBdr>
            <w:top w:val="none" w:sz="0" w:space="0" w:color="auto"/>
            <w:left w:val="none" w:sz="0" w:space="0" w:color="auto"/>
            <w:bottom w:val="none" w:sz="0" w:space="0" w:color="auto"/>
            <w:right w:val="none" w:sz="0" w:space="0" w:color="auto"/>
          </w:divBdr>
        </w:div>
      </w:divsChild>
    </w:div>
    <w:div w:id="1689407374">
      <w:bodyDiv w:val="1"/>
      <w:marLeft w:val="0"/>
      <w:marRight w:val="0"/>
      <w:marTop w:val="0"/>
      <w:marBottom w:val="0"/>
      <w:divBdr>
        <w:top w:val="none" w:sz="0" w:space="0" w:color="auto"/>
        <w:left w:val="none" w:sz="0" w:space="0" w:color="auto"/>
        <w:bottom w:val="none" w:sz="0" w:space="0" w:color="auto"/>
        <w:right w:val="none" w:sz="0" w:space="0" w:color="auto"/>
      </w:divBdr>
      <w:divsChild>
        <w:div w:id="1590309684">
          <w:marLeft w:val="0"/>
          <w:marRight w:val="0"/>
          <w:marTop w:val="0"/>
          <w:marBottom w:val="0"/>
          <w:divBdr>
            <w:top w:val="none" w:sz="0" w:space="0" w:color="auto"/>
            <w:left w:val="none" w:sz="0" w:space="0" w:color="auto"/>
            <w:bottom w:val="none" w:sz="0" w:space="0" w:color="auto"/>
            <w:right w:val="none" w:sz="0" w:space="0" w:color="auto"/>
          </w:divBdr>
        </w:div>
      </w:divsChild>
    </w:div>
    <w:div w:id="2083284785">
      <w:bodyDiv w:val="1"/>
      <w:marLeft w:val="0"/>
      <w:marRight w:val="0"/>
      <w:marTop w:val="0"/>
      <w:marBottom w:val="0"/>
      <w:divBdr>
        <w:top w:val="none" w:sz="0" w:space="0" w:color="auto"/>
        <w:left w:val="none" w:sz="0" w:space="0" w:color="auto"/>
        <w:bottom w:val="none" w:sz="0" w:space="0" w:color="auto"/>
        <w:right w:val="none" w:sz="0" w:space="0" w:color="auto"/>
      </w:divBdr>
      <w:divsChild>
        <w:div w:id="20024166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1096</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Leal Algara Elena Katia</cp:lastModifiedBy>
  <cp:revision>3</cp:revision>
  <dcterms:created xsi:type="dcterms:W3CDTF">2026-07-01T10:17:00Z</dcterms:created>
  <dcterms:modified xsi:type="dcterms:W3CDTF">2026-07-01T11:05:00Z</dcterms:modified>
  <cp:category/>
</cp:coreProperties>
</file>