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0"/>
      </w:pPr>
      <w:r>
        <w:drawing>
          <wp:inline distT="0" distB="0" distL="0" distR="0">
            <wp:extent cx="5852160" cy="8778240"/>
            <wp:effectExtent l="0" t="0" r="0" b="0"/>
            <wp:docPr id="1" name="Infografía técnica MyCoins" descr="Pruebas, depuración, monitoreo y validación de MyCoi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-pruebas-conectividad.png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400" w:right="900" w:bottom="400" w:left="900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