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CENATE — Instrumento aplicado</w:t>
      </w:r>
    </w:p>
    <w:p>
      <w:pPr>
        <w:jc w:val="center"/>
      </w:pPr>
      <w:r>
        <w:rPr>
          <w:i/>
          <w:sz w:val="22"/>
        </w:rPr>
        <w:t>Versão documental reconstruída a partir da estrutura de coleta e staging v20</w:t>
      </w:r>
    </w:p>
    <w:p>
      <w:pPr/>
      <w:r>
        <w:t>Este arquivo apresenta integralmente a estrutura de variáveis da versão aplicada. Mantém a redação disponível nos rótulos da base de staging e registra separadamente a errata do Apêndice A.</w:t>
      </w:r>
    </w:p>
    <w:p>
      <w:pPr>
        <w:pStyle w:val="Heading1"/>
      </w:pPr>
      <w:r>
        <w:t>Bloco A — Identificação e contexto</w:t>
      </w:r>
    </w:p>
    <w:p>
      <w:pPr>
        <w:pStyle w:val="ListBullet"/>
      </w:pPr>
      <w:r>
        <w:t>A.2 — Respondente</w:t>
      </w:r>
    </w:p>
    <w:p>
      <w:pPr>
        <w:pStyle w:val="ListBullet"/>
      </w:pPr>
      <w:r>
        <w:t>A.3 — Cargo/funcao</w:t>
      </w:r>
    </w:p>
    <w:p>
      <w:pPr>
        <w:pStyle w:val="ListBullet"/>
      </w:pPr>
      <w:r>
        <w:t>A.4 — E-mail institucional</w:t>
      </w:r>
    </w:p>
    <w:p>
      <w:pPr>
        <w:pStyle w:val="ListBullet"/>
      </w:pPr>
      <w:r>
        <w:t>A.5 — Exercicio</w:t>
      </w:r>
    </w:p>
    <w:p>
      <w:pPr>
        <w:pStyle w:val="ListBullet"/>
      </w:pPr>
      <w:r>
        <w:t>A.6 — Data preenchimento</w:t>
      </w:r>
    </w:p>
    <w:p>
      <w:pPr>
        <w:pStyle w:val="ListBullet"/>
      </w:pPr>
      <w:r>
        <w:t>A.7 — Orgao de vinculacao</w:t>
      </w:r>
    </w:p>
    <w:p>
      <w:pPr>
        <w:pStyle w:val="ListBullet"/>
      </w:pPr>
      <w:r>
        <w:t>A.8 — Autonomia orcamentaria</w:t>
      </w:r>
    </w:p>
    <w:p>
      <w:pPr>
        <w:pStyle w:val="ListBullet"/>
      </w:pPr>
      <w:r>
        <w:t>A.9 — Modelo de gestao de TIC</w:t>
      </w:r>
    </w:p>
    <w:p>
      <w:pPr>
        <w:pStyle w:val="ListBullet"/>
      </w:pPr>
      <w:r>
        <w:t>A.10 — Competencia divida ativa</w:t>
      </w:r>
    </w:p>
    <w:p>
      <w:pPr>
        <w:pStyle w:val="ListBullet"/>
      </w:pPr>
      <w:r>
        <w:t>A.11.1 — Cadastro</w:t>
      </w:r>
    </w:p>
    <w:p>
      <w:pPr>
        <w:pStyle w:val="ListBullet"/>
      </w:pPr>
      <w:r>
        <w:t>A.11.2 — Arrecadacao</w:t>
      </w:r>
    </w:p>
    <w:p>
      <w:pPr>
        <w:pStyle w:val="ListBullet"/>
      </w:pPr>
      <w:r>
        <w:t>A.11.3 — Declaracoes</w:t>
      </w:r>
    </w:p>
    <w:p>
      <w:pPr>
        <w:pStyle w:val="ListBullet"/>
      </w:pPr>
      <w:r>
        <w:t>A.11.4 — Fiscalizacao</w:t>
      </w:r>
    </w:p>
    <w:p>
      <w:pPr>
        <w:pStyle w:val="ListBullet"/>
      </w:pPr>
      <w:r>
        <w:t>A.11.5 — Conformidade</w:t>
      </w:r>
    </w:p>
    <w:p>
      <w:pPr>
        <w:pStyle w:val="ListBullet"/>
      </w:pPr>
      <w:r>
        <w:t>A.11.6 — Contencioso</w:t>
      </w:r>
    </w:p>
    <w:p>
      <w:pPr>
        <w:pStyle w:val="ListBullet"/>
      </w:pPr>
      <w:r>
        <w:t>A.11.7 — Cobranca adm.</w:t>
      </w:r>
    </w:p>
    <w:p>
      <w:pPr>
        <w:pStyle w:val="ListBullet"/>
      </w:pPr>
      <w:r>
        <w:t>A.11.8 — Divida ativa</w:t>
      </w:r>
    </w:p>
    <w:p>
      <w:pPr>
        <w:pStyle w:val="ListBullet"/>
      </w:pPr>
      <w:r>
        <w:t>A.11.9 — Atendimento</w:t>
      </w:r>
    </w:p>
    <w:p>
      <w:pPr>
        <w:pStyle w:val="ListBullet"/>
      </w:pPr>
      <w:r>
        <w:t>A.11.10 — Educacao fiscal</w:t>
      </w:r>
    </w:p>
    <w:p>
      <w:pPr>
        <w:pStyle w:val="ListBullet"/>
      </w:pPr>
      <w:r>
        <w:t>A.11.11 — Intel. analitica</w:t>
      </w:r>
    </w:p>
    <w:p>
      <w:pPr>
        <w:pStyle w:val="ListBullet"/>
      </w:pPr>
      <w:r>
        <w:t>A.11.12 — TI tributaria</w:t>
      </w:r>
    </w:p>
    <w:p>
      <w:pPr>
        <w:pStyle w:val="ListBullet"/>
      </w:pPr>
      <w:r>
        <w:t>A.11.13 — Grandes contrib.</w:t>
      </w:r>
    </w:p>
    <w:p>
      <w:pPr>
        <w:pStyle w:val="ListBullet"/>
      </w:pPr>
      <w:r>
        <w:t>A.12 — Observacoes (A12)</w:t>
      </w:r>
    </w:p>
    <w:p>
      <w:pPr>
        <w:pStyle w:val="Heading1"/>
      </w:pPr>
      <w:r>
        <w:t>Bloco B — Maturidade institucional</w:t>
      </w:r>
    </w:p>
    <w:p>
      <w:pPr>
        <w:pStyle w:val="ListBullet"/>
      </w:pPr>
      <w:r>
        <w:t>B01 — Planejamento e Governança Estratégica — B01.1</w:t>
      </w:r>
    </w:p>
    <w:p>
      <w:pPr>
        <w:pStyle w:val="ListBullet"/>
      </w:pPr>
      <w:r>
        <w:t>B01.2</w:t>
      </w:r>
    </w:p>
    <w:p>
      <w:pPr>
        <w:pStyle w:val="ListBullet"/>
      </w:pPr>
      <w:r>
        <w:t>B01.3</w:t>
      </w:r>
    </w:p>
    <w:p>
      <w:pPr>
        <w:pStyle w:val="ListBullet"/>
      </w:pPr>
      <w:r>
        <w:t>B01.4</w:t>
      </w:r>
    </w:p>
    <w:p>
      <w:pPr>
        <w:pStyle w:val="ListBullet"/>
      </w:pPr>
      <w:r>
        <w:t>B01_M</w:t>
      </w:r>
    </w:p>
    <w:p>
      <w:pPr>
        <w:pStyle w:val="ListBullet"/>
      </w:pPr>
      <w:r>
        <w:t>B02 — Gestão de Pessoas e Capacidade Organizacional — B02.1</w:t>
      </w:r>
    </w:p>
    <w:p>
      <w:pPr>
        <w:pStyle w:val="ListBullet"/>
      </w:pPr>
      <w:r>
        <w:t>B02.2</w:t>
      </w:r>
    </w:p>
    <w:p>
      <w:pPr>
        <w:pStyle w:val="ListBullet"/>
      </w:pPr>
      <w:r>
        <w:t>B02.3</w:t>
      </w:r>
    </w:p>
    <w:p>
      <w:pPr>
        <w:pStyle w:val="ListBullet"/>
      </w:pPr>
      <w:r>
        <w:t>B02.4</w:t>
      </w:r>
    </w:p>
    <w:p>
      <w:pPr>
        <w:pStyle w:val="ListBullet"/>
      </w:pPr>
      <w:r>
        <w:t>B02_M</w:t>
      </w:r>
    </w:p>
    <w:p>
      <w:pPr>
        <w:pStyle w:val="ListBullet"/>
      </w:pPr>
      <w:r>
        <w:t>B03 — Gestão de Riscos Institucionais e Integridade — B03.1</w:t>
      </w:r>
    </w:p>
    <w:p>
      <w:pPr>
        <w:pStyle w:val="ListBullet"/>
      </w:pPr>
      <w:r>
        <w:t>B03.2</w:t>
      </w:r>
    </w:p>
    <w:p>
      <w:pPr>
        <w:pStyle w:val="ListBullet"/>
      </w:pPr>
      <w:r>
        <w:t>B03.3</w:t>
      </w:r>
    </w:p>
    <w:p>
      <w:pPr>
        <w:pStyle w:val="ListBullet"/>
      </w:pPr>
      <w:r>
        <w:t>B03.4</w:t>
      </w:r>
    </w:p>
    <w:p>
      <w:pPr>
        <w:pStyle w:val="ListBullet"/>
      </w:pPr>
      <w:r>
        <w:t>B03_M</w:t>
      </w:r>
    </w:p>
    <w:p>
      <w:pPr>
        <w:pStyle w:val="ListBullet"/>
      </w:pPr>
      <w:r>
        <w:t>B04 — Tecnologia, Governança de Dados e Regras Digitais — B04.1</w:t>
      </w:r>
    </w:p>
    <w:p>
      <w:pPr>
        <w:pStyle w:val="ListBullet"/>
      </w:pPr>
      <w:r>
        <w:t>B04.2</w:t>
      </w:r>
    </w:p>
    <w:p>
      <w:pPr>
        <w:pStyle w:val="ListBullet"/>
      </w:pPr>
      <w:r>
        <w:t>B04.3</w:t>
      </w:r>
    </w:p>
    <w:p>
      <w:pPr>
        <w:pStyle w:val="ListBullet"/>
      </w:pPr>
      <w:r>
        <w:t>B04.4</w:t>
      </w:r>
    </w:p>
    <w:p>
      <w:pPr>
        <w:pStyle w:val="ListBullet"/>
      </w:pPr>
      <w:r>
        <w:t>B04_M</w:t>
      </w:r>
    </w:p>
    <w:p>
      <w:pPr>
        <w:pStyle w:val="ListBullet"/>
      </w:pPr>
      <w:r>
        <w:t>B05 — Capacidade Analítica e Ciência de Dados — B05.1</w:t>
      </w:r>
    </w:p>
    <w:p>
      <w:pPr>
        <w:pStyle w:val="ListBullet"/>
      </w:pPr>
      <w:r>
        <w:t>B05.2</w:t>
      </w:r>
    </w:p>
    <w:p>
      <w:pPr>
        <w:pStyle w:val="ListBullet"/>
      </w:pPr>
      <w:r>
        <w:t>B05.3</w:t>
      </w:r>
    </w:p>
    <w:p>
      <w:pPr>
        <w:pStyle w:val="ListBullet"/>
      </w:pPr>
      <w:r>
        <w:t>B05.4</w:t>
      </w:r>
    </w:p>
    <w:p>
      <w:pPr>
        <w:pStyle w:val="ListBullet"/>
      </w:pPr>
      <w:r>
        <w:t>B05_M</w:t>
      </w:r>
    </w:p>
    <w:p>
      <w:pPr>
        <w:pStyle w:val="ListBullet"/>
      </w:pPr>
      <w:r>
        <w:t>B06 — Inovação Digital, Automação e Inteligência Artificial — B06.1</w:t>
      </w:r>
    </w:p>
    <w:p>
      <w:pPr>
        <w:pStyle w:val="ListBullet"/>
      </w:pPr>
      <w:r>
        <w:t>B06.2</w:t>
      </w:r>
    </w:p>
    <w:p>
      <w:pPr>
        <w:pStyle w:val="ListBullet"/>
      </w:pPr>
      <w:r>
        <w:t>B06.3</w:t>
      </w:r>
    </w:p>
    <w:p>
      <w:pPr>
        <w:pStyle w:val="ListBullet"/>
      </w:pPr>
      <w:r>
        <w:t>B06.4</w:t>
      </w:r>
    </w:p>
    <w:p>
      <w:pPr>
        <w:pStyle w:val="ListBullet"/>
      </w:pPr>
      <w:r>
        <w:t>B06_M</w:t>
      </w:r>
    </w:p>
    <w:p>
      <w:pPr>
        <w:pStyle w:val="ListBullet"/>
      </w:pPr>
      <w:r>
        <w:t>B07 — Gestão do Risco de Conformidade — B07.1</w:t>
      </w:r>
    </w:p>
    <w:p>
      <w:pPr>
        <w:pStyle w:val="ListBullet"/>
      </w:pPr>
      <w:r>
        <w:t>B07.2</w:t>
      </w:r>
    </w:p>
    <w:p>
      <w:pPr>
        <w:pStyle w:val="ListBullet"/>
      </w:pPr>
      <w:r>
        <w:t>B07.3</w:t>
      </w:r>
    </w:p>
    <w:p>
      <w:pPr>
        <w:pStyle w:val="ListBullet"/>
      </w:pPr>
      <w:r>
        <w:t>B07.4</w:t>
      </w:r>
    </w:p>
    <w:p>
      <w:pPr>
        <w:pStyle w:val="ListBullet"/>
      </w:pPr>
      <w:r>
        <w:t>B07_M</w:t>
      </w:r>
    </w:p>
    <w:p>
      <w:pPr>
        <w:pStyle w:val="ListBullet"/>
      </w:pPr>
      <w:r>
        <w:t>B08 — Gestão do Cadastro de Contribuintes — B08.1</w:t>
      </w:r>
    </w:p>
    <w:p>
      <w:pPr>
        <w:pStyle w:val="ListBullet"/>
      </w:pPr>
      <w:r>
        <w:t>B08.2</w:t>
      </w:r>
    </w:p>
    <w:p>
      <w:pPr>
        <w:pStyle w:val="ListBullet"/>
      </w:pPr>
      <w:r>
        <w:t>B08.3</w:t>
      </w:r>
    </w:p>
    <w:p>
      <w:pPr>
        <w:pStyle w:val="ListBullet"/>
      </w:pPr>
      <w:r>
        <w:t>B08.4</w:t>
      </w:r>
    </w:p>
    <w:p>
      <w:pPr>
        <w:pStyle w:val="ListBullet"/>
      </w:pPr>
      <w:r>
        <w:t>B08_M</w:t>
      </w:r>
    </w:p>
    <w:p>
      <w:pPr>
        <w:pStyle w:val="ListBullet"/>
      </w:pPr>
      <w:r>
        <w:t>B09 — Declarações e Obrigações Acessórias — B09.1</w:t>
      </w:r>
    </w:p>
    <w:p>
      <w:pPr>
        <w:pStyle w:val="ListBullet"/>
      </w:pPr>
      <w:r>
        <w:t>B09.2</w:t>
      </w:r>
    </w:p>
    <w:p>
      <w:pPr>
        <w:pStyle w:val="ListBullet"/>
      </w:pPr>
      <w:r>
        <w:t>B09.3</w:t>
      </w:r>
    </w:p>
    <w:p>
      <w:pPr>
        <w:pStyle w:val="ListBullet"/>
      </w:pPr>
      <w:r>
        <w:t>B09.4</w:t>
      </w:r>
    </w:p>
    <w:p>
      <w:pPr>
        <w:pStyle w:val="ListBullet"/>
      </w:pPr>
      <w:r>
        <w:t>B09_M</w:t>
      </w:r>
    </w:p>
    <w:p>
      <w:pPr>
        <w:pStyle w:val="ListBullet"/>
      </w:pPr>
      <w:r>
        <w:t>B10 — Serviços Digitais e Relacionamento com o Contribuinte — B10.1</w:t>
      </w:r>
    </w:p>
    <w:p>
      <w:pPr>
        <w:pStyle w:val="ListBullet"/>
      </w:pPr>
      <w:r>
        <w:t>B10.2</w:t>
      </w:r>
    </w:p>
    <w:p>
      <w:pPr>
        <w:pStyle w:val="ListBullet"/>
      </w:pPr>
      <w:r>
        <w:t>B10.3</w:t>
      </w:r>
    </w:p>
    <w:p>
      <w:pPr>
        <w:pStyle w:val="ListBullet"/>
      </w:pPr>
      <w:r>
        <w:t>B10.4</w:t>
      </w:r>
    </w:p>
    <w:p>
      <w:pPr>
        <w:pStyle w:val="ListBullet"/>
      </w:pPr>
      <w:r>
        <w:t>B10_M</w:t>
      </w:r>
    </w:p>
    <w:p>
      <w:pPr>
        <w:pStyle w:val="ListBullet"/>
      </w:pPr>
      <w:r>
        <w:t>B11 — Apoio à Conformidade Tributária e Autorregularização — B11.1</w:t>
      </w:r>
    </w:p>
    <w:p>
      <w:pPr>
        <w:pStyle w:val="ListBullet"/>
      </w:pPr>
      <w:r>
        <w:t>B11.2</w:t>
      </w:r>
    </w:p>
    <w:p>
      <w:pPr>
        <w:pStyle w:val="ListBullet"/>
      </w:pPr>
      <w:r>
        <w:t>B11.3</w:t>
      </w:r>
    </w:p>
    <w:p>
      <w:pPr>
        <w:pStyle w:val="ListBullet"/>
      </w:pPr>
      <w:r>
        <w:t>B11.4</w:t>
      </w:r>
    </w:p>
    <w:p>
      <w:pPr>
        <w:pStyle w:val="ListBullet"/>
      </w:pPr>
      <w:r>
        <w:t>B11_M</w:t>
      </w:r>
    </w:p>
    <w:p>
      <w:pPr>
        <w:pStyle w:val="ListBullet"/>
      </w:pPr>
      <w:r>
        <w:t>B12 — Gestão de Grandes Contribuintes — B12.1</w:t>
      </w:r>
    </w:p>
    <w:p>
      <w:pPr>
        <w:pStyle w:val="ListBullet"/>
      </w:pPr>
      <w:r>
        <w:t>B12.2</w:t>
      </w:r>
    </w:p>
    <w:p>
      <w:pPr>
        <w:pStyle w:val="ListBullet"/>
      </w:pPr>
      <w:r>
        <w:t>B12.3</w:t>
      </w:r>
    </w:p>
    <w:p>
      <w:pPr>
        <w:pStyle w:val="ListBullet"/>
      </w:pPr>
      <w:r>
        <w:t>B12.4</w:t>
      </w:r>
    </w:p>
    <w:p>
      <w:pPr>
        <w:pStyle w:val="ListBullet"/>
      </w:pPr>
      <w:r>
        <w:t>B12_M</w:t>
      </w:r>
    </w:p>
    <w:p>
      <w:pPr>
        <w:pStyle w:val="ListBullet"/>
      </w:pPr>
      <w:r>
        <w:t>B13 — Fiscalização e Auditoria Tributária — B13.1</w:t>
      </w:r>
    </w:p>
    <w:p>
      <w:pPr>
        <w:pStyle w:val="ListBullet"/>
      </w:pPr>
      <w:r>
        <w:t>B13.2</w:t>
      </w:r>
    </w:p>
    <w:p>
      <w:pPr>
        <w:pStyle w:val="ListBullet"/>
      </w:pPr>
      <w:r>
        <w:t>B13.3</w:t>
      </w:r>
    </w:p>
    <w:p>
      <w:pPr>
        <w:pStyle w:val="ListBullet"/>
      </w:pPr>
      <w:r>
        <w:t>B13.4</w:t>
      </w:r>
    </w:p>
    <w:p>
      <w:pPr>
        <w:pStyle w:val="ListBullet"/>
      </w:pPr>
      <w:r>
        <w:t>B13_M</w:t>
      </w:r>
    </w:p>
    <w:p>
      <w:pPr>
        <w:pStyle w:val="ListBullet"/>
      </w:pPr>
      <w:r>
        <w:t>B14 — Resolução de Litígios Tributários (Contencioso) — B14.1</w:t>
      </w:r>
    </w:p>
    <w:p>
      <w:pPr>
        <w:pStyle w:val="ListBullet"/>
      </w:pPr>
      <w:r>
        <w:t>B14.2</w:t>
      </w:r>
    </w:p>
    <w:p>
      <w:pPr>
        <w:pStyle w:val="ListBullet"/>
      </w:pPr>
      <w:r>
        <w:t>B14.3</w:t>
      </w:r>
    </w:p>
    <w:p>
      <w:pPr>
        <w:pStyle w:val="ListBullet"/>
      </w:pPr>
      <w:r>
        <w:t>B14.4</w:t>
      </w:r>
    </w:p>
    <w:p>
      <w:pPr>
        <w:pStyle w:val="ListBullet"/>
      </w:pPr>
      <w:r>
        <w:t>B14_M</w:t>
      </w:r>
    </w:p>
    <w:p>
      <w:pPr>
        <w:pStyle w:val="ListBullet"/>
      </w:pPr>
      <w:r>
        <w:t>B15 — Cobrança, Recuperação de Créditos e Dívida Ativa — B15.1</w:t>
      </w:r>
    </w:p>
    <w:p>
      <w:pPr>
        <w:pStyle w:val="ListBullet"/>
      </w:pPr>
      <w:r>
        <w:t>B15.2</w:t>
      </w:r>
    </w:p>
    <w:p>
      <w:pPr>
        <w:pStyle w:val="ListBullet"/>
      </w:pPr>
      <w:r>
        <w:t>B15.3</w:t>
      </w:r>
    </w:p>
    <w:p>
      <w:pPr>
        <w:pStyle w:val="ListBullet"/>
      </w:pPr>
      <w:r>
        <w:t>B15.4</w:t>
      </w:r>
    </w:p>
    <w:p>
      <w:pPr>
        <w:pStyle w:val="ListBullet"/>
      </w:pPr>
      <w:r>
        <w:t>B15_M</w:t>
      </w:r>
    </w:p>
    <w:p>
      <w:pPr>
        <w:pStyle w:val="ListBullet"/>
      </w:pPr>
      <w:r>
        <w:t>B16 — Gestão de Receitas, Arrecadação e Conciliação — B16.1</w:t>
      </w:r>
    </w:p>
    <w:p>
      <w:pPr>
        <w:pStyle w:val="ListBullet"/>
      </w:pPr>
      <w:r>
        <w:t>B16.2</w:t>
      </w:r>
    </w:p>
    <w:p>
      <w:pPr>
        <w:pStyle w:val="ListBullet"/>
      </w:pPr>
      <w:r>
        <w:t>B16.3</w:t>
      </w:r>
    </w:p>
    <w:p>
      <w:pPr>
        <w:pStyle w:val="ListBullet"/>
      </w:pPr>
      <w:r>
        <w:t>B16.4</w:t>
      </w:r>
    </w:p>
    <w:p>
      <w:pPr>
        <w:pStyle w:val="ListBullet"/>
      </w:pPr>
      <w:r>
        <w:t>B16_M</w:t>
      </w:r>
    </w:p>
    <w:p>
      <w:pPr>
        <w:pStyle w:val="ListBullet"/>
      </w:pPr>
      <w:r>
        <w:t>B17 — Transparência e Prestação de Contas — B17.1</w:t>
      </w:r>
    </w:p>
    <w:p>
      <w:pPr>
        <w:pStyle w:val="ListBullet"/>
      </w:pPr>
      <w:r>
        <w:t>B17.2</w:t>
      </w:r>
    </w:p>
    <w:p>
      <w:pPr>
        <w:pStyle w:val="ListBullet"/>
      </w:pPr>
      <w:r>
        <w:t>B17.3</w:t>
      </w:r>
    </w:p>
    <w:p>
      <w:pPr>
        <w:pStyle w:val="ListBullet"/>
      </w:pPr>
      <w:r>
        <w:t>B17.4</w:t>
      </w:r>
    </w:p>
    <w:p>
      <w:pPr>
        <w:pStyle w:val="ListBullet"/>
      </w:pPr>
      <w:r>
        <w:t>B17_M</w:t>
      </w:r>
    </w:p>
    <w:p>
      <w:pPr>
        <w:pStyle w:val="ListBullet"/>
      </w:pPr>
      <w:r>
        <w:t>Dims_cobertas — Dims_cobertas</w:t>
      </w:r>
    </w:p>
    <w:p>
      <w:pPr>
        <w:pStyle w:val="ListBullet"/>
      </w:pPr>
      <w:r>
        <w:t>IMI_bruto — IMI_bruto</w:t>
      </w:r>
    </w:p>
    <w:p>
      <w:pPr>
        <w:pStyle w:val="ListBullet"/>
      </w:pPr>
      <w:r>
        <w:t>IMI_0_100 — IMI_0_100</w:t>
      </w:r>
    </w:p>
    <w:p>
      <w:pPr>
        <w:pStyle w:val="Heading1"/>
      </w:pPr>
      <w:r>
        <w:t>Bloco C — Caderno quantitativo</w:t>
      </w:r>
    </w:p>
    <w:p>
      <w:pPr>
        <w:pStyle w:val="ListBullet"/>
      </w:pPr>
      <w:r>
        <w:t>C1.1 — Arrecadacao total de tributos estaduais</w:t>
      </w:r>
    </w:p>
    <w:p>
      <w:pPr>
        <w:pStyle w:val="ListBullet"/>
      </w:pPr>
      <w:r>
        <w:t>C1.2 — ICMS proprio (excl. ST)</w:t>
      </w:r>
    </w:p>
    <w:p>
      <w:pPr>
        <w:pStyle w:val="ListBullet"/>
      </w:pPr>
      <w:r>
        <w:t>C1.3 — ICMS-ST</w:t>
      </w:r>
    </w:p>
    <w:p>
      <w:pPr>
        <w:pStyle w:val="ListBullet"/>
      </w:pPr>
      <w:r>
        <w:t>C1.4 — ITCD/ITCMD</w:t>
      </w:r>
    </w:p>
    <w:p>
      <w:pPr>
        <w:pStyle w:val="ListBullet"/>
      </w:pPr>
      <w:r>
        <w:t>C1.5 — IPVA</w:t>
      </w:r>
    </w:p>
    <w:p>
      <w:pPr>
        <w:pStyle w:val="ListBullet"/>
      </w:pPr>
      <w:r>
        <w:t>C1.6 — Taxas e demais tributos proprios</w:t>
      </w:r>
    </w:p>
    <w:p>
      <w:pPr>
        <w:pStyle w:val="ListBullet"/>
      </w:pPr>
      <w:r>
        <w:t>C1.7 — Arrecadacao de grandes contribuintes</w:t>
      </w:r>
    </w:p>
    <w:p>
      <w:pPr>
        <w:pStyle w:val="ListBullet"/>
      </w:pPr>
      <w:r>
        <w:t>C1.8 — Arrecadacao de lancamentos de oficio</w:t>
      </w:r>
    </w:p>
    <w:p>
      <w:pPr>
        <w:pStyle w:val="ListBullet"/>
      </w:pPr>
      <w:r>
        <w:t>C1.9 — Arrecadacao de autorregularizacao</w:t>
      </w:r>
    </w:p>
    <w:p>
      <w:pPr>
        <w:pStyle w:val="ListBullet"/>
      </w:pPr>
      <w:r>
        <w:t>C1.10 — Arrecadacao de cobranca administrativa</w:t>
      </w:r>
    </w:p>
    <w:p>
      <w:pPr>
        <w:pStyle w:val="ListBullet"/>
      </w:pPr>
      <w:r>
        <w:t>C1.11 — Arrecadacao de cobranca judicial</w:t>
      </w:r>
    </w:p>
    <w:p>
      <w:pPr>
        <w:pStyle w:val="ListBullet"/>
      </w:pPr>
      <w:r>
        <w:t>C1.12 — Arrecadacao total t-1</w:t>
      </w:r>
    </w:p>
    <w:p>
      <w:pPr>
        <w:pStyle w:val="ListBullet"/>
      </w:pPr>
      <w:r>
        <w:t>C2.1 — Despesa total da AT</w:t>
      </w:r>
    </w:p>
    <w:p>
      <w:pPr>
        <w:pStyle w:val="ListBullet"/>
      </w:pPr>
      <w:r>
        <w:t>C2.2 — Despesa com pessoal ativo</w:t>
      </w:r>
    </w:p>
    <w:p>
      <w:pPr>
        <w:pStyle w:val="ListBullet"/>
      </w:pPr>
      <w:r>
        <w:t>C2.3 — Despesa com TIC</w:t>
      </w:r>
    </w:p>
    <w:p>
      <w:pPr>
        <w:pStyle w:val="ListBullet"/>
      </w:pPr>
      <w:r>
        <w:t>C2.4 — Investimento total no exercicio</w:t>
      </w:r>
    </w:p>
    <w:p>
      <w:pPr>
        <w:pStyle w:val="ListBullet"/>
      </w:pPr>
      <w:r>
        <w:t>C3.1 — Efetivo total de servidores ativos</w:t>
      </w:r>
    </w:p>
    <w:p>
      <w:pPr>
        <w:pStyle w:val="ListBullet"/>
      </w:pPr>
      <w:r>
        <w:t>C3.2 — Servidores em auditoria/fiscalizacao</w:t>
      </w:r>
    </w:p>
    <w:p>
      <w:pPr>
        <w:pStyle w:val="ListBullet"/>
      </w:pPr>
      <w:r>
        <w:t>C3.3 — Servidores em arrecadacao/cobranca</w:t>
      </w:r>
    </w:p>
    <w:p>
      <w:pPr>
        <w:pStyle w:val="ListBullet"/>
      </w:pPr>
      <w:r>
        <w:t>C3.4 — Servidores em contencioso</w:t>
      </w:r>
    </w:p>
    <w:p>
      <w:pPr>
        <w:pStyle w:val="ListBullet"/>
      </w:pPr>
      <w:r>
        <w:t>C3.5 — Servidores em atendimento/cadastros</w:t>
      </w:r>
    </w:p>
    <w:p>
      <w:pPr>
        <w:pStyle w:val="ListBullet"/>
      </w:pPr>
      <w:r>
        <w:t>C3.6 — Servidores em TI</w:t>
      </w:r>
    </w:p>
    <w:p>
      <w:pPr>
        <w:pStyle w:val="ListBullet"/>
      </w:pPr>
      <w:r>
        <w:t>C3.7 — Servidores em gestao estrategica</w:t>
      </w:r>
    </w:p>
    <w:p>
      <w:pPr>
        <w:pStyle w:val="ListBullet"/>
      </w:pPr>
      <w:r>
        <w:t>C3.8 — Servidores em suporte administrativo</w:t>
      </w:r>
    </w:p>
    <w:p>
      <w:pPr>
        <w:pStyle w:val="ListBullet"/>
      </w:pPr>
      <w:r>
        <w:t>C3.9 — Servidores em outras areas</w:t>
      </w:r>
    </w:p>
    <w:p>
      <w:pPr>
        <w:pStyle w:val="ListBullet"/>
      </w:pPr>
      <w:r>
        <w:t>C3.10 — Servidores em risco de aposentadoria (5 anos)</w:t>
      </w:r>
    </w:p>
    <w:p>
      <w:pPr>
        <w:pStyle w:val="ListBullet"/>
      </w:pPr>
      <w:r>
        <w:t>C4.1 — Contribuintes ativos do principal tributo</w:t>
      </w:r>
    </w:p>
    <w:p>
      <w:pPr>
        <w:pStyle w:val="ListBullet"/>
      </w:pPr>
      <w:r>
        <w:t>C4.2 — % do cadastro validado automaticamente</w:t>
      </w:r>
    </w:p>
    <w:p>
      <w:pPr>
        <w:pStyle w:val="ListBullet"/>
      </w:pPr>
      <w:r>
        <w:t>C4.3 — Inscricoes novas no exercicio</w:t>
      </w:r>
    </w:p>
    <w:p>
      <w:pPr>
        <w:pStyle w:val="ListBullet"/>
      </w:pPr>
      <w:r>
        <w:t>C4.4 — Inscricoes suspensas ou baixadas</w:t>
      </w:r>
    </w:p>
    <w:p>
      <w:pPr>
        <w:pStyle w:val="ListBullet"/>
      </w:pPr>
      <w:r>
        <w:t>C5.1 — Declaracoes esperadas no exercicio</w:t>
      </w:r>
    </w:p>
    <w:p>
      <w:pPr>
        <w:pStyle w:val="ListBullet"/>
      </w:pPr>
      <w:r>
        <w:t>C5.2 — Declaracoes entregues no prazo</w:t>
      </w:r>
    </w:p>
    <w:p>
      <w:pPr>
        <w:pStyle w:val="ListBullet"/>
      </w:pPr>
      <w:r>
        <w:t>C5.3 — Declaracoes com omissao identificadas</w:t>
      </w:r>
    </w:p>
    <w:p>
      <w:pPr>
        <w:pStyle w:val="ListBullet"/>
      </w:pPr>
      <w:r>
        <w:t>C5.4 — % de declaracoes sem inconsistencias</w:t>
      </w:r>
    </w:p>
    <w:p>
      <w:pPr>
        <w:pStyle w:val="ListBullet"/>
      </w:pPr>
      <w:r>
        <w:t>C6.1 — Total de pagamentos devidos</w:t>
      </w:r>
    </w:p>
    <w:p>
      <w:pPr>
        <w:pStyle w:val="ListBullet"/>
      </w:pPr>
      <w:r>
        <w:t>C6.2 — Valor pago no prazo</w:t>
      </w:r>
    </w:p>
    <w:p>
      <w:pPr>
        <w:pStyle w:val="ListBullet"/>
      </w:pPr>
      <w:r>
        <w:t>C6.3 — Contribuintes que pagaram no prazo</w:t>
      </w:r>
    </w:p>
    <w:p>
      <w:pPr>
        <w:pStyle w:val="ListBullet"/>
      </w:pPr>
      <w:r>
        <w:t>C6.4 — Contribuintes com obrigacao de pagamento</w:t>
      </w:r>
    </w:p>
    <w:p>
      <w:pPr>
        <w:pStyle w:val="ListBullet"/>
      </w:pPr>
      <w:r>
        <w:t>C7.1 — Comunicacoes proativas enviadas</w:t>
      </w:r>
    </w:p>
    <w:p>
      <w:pPr>
        <w:pStyle w:val="ListBullet"/>
      </w:pPr>
      <w:r>
        <w:t>C7.2 — Casos regularizados espontaneamente</w:t>
      </w:r>
    </w:p>
    <w:p>
      <w:pPr>
        <w:pStyle w:val="ListBullet"/>
      </w:pPr>
      <w:r>
        <w:t>C7.3 — Contribuintes alcancados por acoes de conformidade</w:t>
      </w:r>
    </w:p>
    <w:p>
      <w:pPr>
        <w:pStyle w:val="ListBullet"/>
      </w:pPr>
      <w:r>
        <w:t>C8.1 — Valor lancado em autos de infracao</w:t>
      </w:r>
    </w:p>
    <w:p>
      <w:pPr>
        <w:pStyle w:val="ListBullet"/>
      </w:pPr>
      <w:r>
        <w:t>C8.2 — Valor cobrado de autos do exercicio anterior</w:t>
      </w:r>
    </w:p>
    <w:p>
      <w:pPr>
        <w:pStyle w:val="ListBullet"/>
      </w:pPr>
      <w:r>
        <w:t>C8.3 — Numero de autos lavrados</w:t>
      </w:r>
    </w:p>
    <w:p>
      <w:pPr>
        <w:pStyle w:val="ListBullet"/>
      </w:pPr>
      <w:r>
        <w:t>C8.4 — Creditos tributarios constituidos</w:t>
      </w:r>
    </w:p>
    <w:p>
      <w:pPr>
        <w:pStyle w:val="ListBullet"/>
      </w:pPr>
      <w:r>
        <w:t>C9.1 — Estoque contencioso no inicio</w:t>
      </w:r>
    </w:p>
    <w:p>
      <w:pPr>
        <w:pStyle w:val="ListBullet"/>
      </w:pPr>
      <w:r>
        <w:t>C9.2 — Estoque contencioso no encerramento</w:t>
      </w:r>
    </w:p>
    <w:p>
      <w:pPr>
        <w:pStyle w:val="ListBullet"/>
      </w:pPr>
      <w:r>
        <w:t>C9.3 — Processos ingressados no exercicio</w:t>
      </w:r>
    </w:p>
    <w:p>
      <w:pPr>
        <w:pStyle w:val="ListBullet"/>
      </w:pPr>
      <w:r>
        <w:t>C9.4 — Tempo medio de tramitacao (1a inst.)</w:t>
      </w:r>
    </w:p>
    <w:p>
      <w:pPr>
        <w:pStyle w:val="ListBullet"/>
      </w:pPr>
      <w:r>
        <w:t>C9.5 — Valor do estoque contencioso</w:t>
      </w:r>
    </w:p>
    <w:p>
      <w:pPr>
        <w:pStyle w:val="ListBullet"/>
      </w:pPr>
      <w:r>
        <w:t>C9.6 — % de processos favoraveis a AT</w:t>
      </w:r>
    </w:p>
    <w:p>
      <w:pPr>
        <w:pStyle w:val="ListBullet"/>
      </w:pPr>
      <w:r>
        <w:t>C10.1 — Estoque de divida ativa no inicio</w:t>
      </w:r>
    </w:p>
    <w:p>
      <w:pPr>
        <w:pStyle w:val="ListBullet"/>
      </w:pPr>
      <w:r>
        <w:t>C10.2 — Estoque de divida ativa no encerramento</w:t>
      </w:r>
    </w:p>
    <w:p>
      <w:pPr>
        <w:pStyle w:val="ListBullet"/>
      </w:pPr>
      <w:r>
        <w:t>C10.3 — Valor recuperado da divida ativa</w:t>
      </w:r>
    </w:p>
    <w:p>
      <w:pPr>
        <w:pStyle w:val="ListBullet"/>
      </w:pPr>
      <w:r>
        <w:t>C10.4 — % do estoque sob protesto extrajudicial</w:t>
      </w:r>
    </w:p>
    <w:p>
      <w:pPr>
        <w:pStyle w:val="ListBullet"/>
      </w:pPr>
      <w:r>
        <w:t>C10.5 — % do estoque com exigibilidade suspensa</w:t>
      </w:r>
    </w:p>
    <w:p>
      <w:pPr>
        <w:pStyle w:val="ListBullet"/>
      </w:pPr>
      <w:r>
        <w:t>C11.1 — Tempo medio de emissao de inscricao (digital)</w:t>
      </w:r>
    </w:p>
    <w:p>
      <w:pPr>
        <w:pStyle w:val="ListBullet"/>
      </w:pPr>
      <w:r>
        <w:t>C11.2 — Tempo medio de resolucao de solicitacao</w:t>
      </w:r>
    </w:p>
    <w:p>
      <w:pPr>
        <w:pStyle w:val="ListBullet"/>
      </w:pPr>
      <w:r>
        <w:t>C11.3 — Tempo medio de concessao de restituicao</w:t>
      </w:r>
    </w:p>
    <w:p>
      <w:pPr>
        <w:pStyle w:val="ListBullet"/>
      </w:pPr>
      <w:r>
        <w:t>C11.4 — Tempo medio de conclusao de auditoria</w:t>
      </w:r>
    </w:p>
    <w:p>
      <w:pPr>
        <w:pStyle w:val="ListBullet"/>
      </w:pPr>
      <w:r>
        <w:t>C11.5 — Indice de satisfacao do contribuinte</w:t>
      </w:r>
    </w:p>
    <w:p>
      <w:pPr>
        <w:pStyle w:val="ListBullet"/>
      </w:pPr>
      <w:r>
        <w:t>Vars_preenchidas</w:t>
      </w:r>
    </w:p>
    <w:p>
      <w:pPr>
        <w:pStyle w:val="ListBullet"/>
      </w:pPr>
      <w:r>
        <w:t>% preenchimento</w:t>
      </w:r>
    </w:p>
    <w:p>
      <w:pPr>
        <w:pStyle w:val="Heading1"/>
      </w:pPr>
      <w:r>
        <w:t>Bloco C12 — Itens binários</w:t>
      </w:r>
    </w:p>
    <w:p>
      <w:pPr>
        <w:pStyle w:val="ListBullet"/>
      </w:pPr>
      <w:r>
        <w:t>BLOCO C — Itens binários de prontidão para a Reforma (C12.1–C12.4): 23 itens</w:t>
        <w:br/>
        <w:t>IPR_bin = Sim / (Sim + Nao) x 100 — as respostas ND ficam FORA do denominador (TFM §3.3.6). — UF</w:t>
      </w:r>
    </w:p>
    <w:p>
      <w:pPr>
        <w:pStyle w:val="ListBullet"/>
      </w:pPr>
      <w:r>
        <w:t>Estado</w:t>
      </w:r>
    </w:p>
    <w:p>
      <w:pPr>
        <w:pStyle w:val="ListBullet"/>
      </w:pPr>
      <w:r>
        <w:t>C12.1a</w:t>
      </w:r>
    </w:p>
    <w:p>
      <w:pPr>
        <w:pStyle w:val="ListBullet"/>
      </w:pPr>
      <w:r>
        <w:t>C12.1b</w:t>
      </w:r>
    </w:p>
    <w:p>
      <w:pPr>
        <w:pStyle w:val="ListBullet"/>
      </w:pPr>
      <w:r>
        <w:t>C12.1c</w:t>
      </w:r>
    </w:p>
    <w:p>
      <w:pPr>
        <w:pStyle w:val="ListBullet"/>
      </w:pPr>
      <w:r>
        <w:t>C12.1d</w:t>
      </w:r>
    </w:p>
    <w:p>
      <w:pPr>
        <w:pStyle w:val="ListBullet"/>
      </w:pPr>
      <w:r>
        <w:t>C12.2a</w:t>
      </w:r>
    </w:p>
    <w:p>
      <w:pPr>
        <w:pStyle w:val="ListBullet"/>
      </w:pPr>
      <w:r>
        <w:t>C12.2b</w:t>
      </w:r>
    </w:p>
    <w:p>
      <w:pPr>
        <w:pStyle w:val="ListBullet"/>
      </w:pPr>
      <w:r>
        <w:t>C12.2c</w:t>
      </w:r>
    </w:p>
    <w:p>
      <w:pPr>
        <w:pStyle w:val="ListBullet"/>
      </w:pPr>
      <w:r>
        <w:t>C12.2d</w:t>
      </w:r>
    </w:p>
    <w:p>
      <w:pPr>
        <w:pStyle w:val="ListBullet"/>
      </w:pPr>
      <w:r>
        <w:t>C12.2e</w:t>
      </w:r>
    </w:p>
    <w:p>
      <w:pPr>
        <w:pStyle w:val="ListBullet"/>
      </w:pPr>
      <w:r>
        <w:t>C12.2f</w:t>
      </w:r>
    </w:p>
    <w:p>
      <w:pPr>
        <w:pStyle w:val="ListBullet"/>
      </w:pPr>
      <w:r>
        <w:t>C12.2g</w:t>
      </w:r>
    </w:p>
    <w:p>
      <w:pPr>
        <w:pStyle w:val="ListBullet"/>
      </w:pPr>
      <w:r>
        <w:t>C12.3a</w:t>
      </w:r>
    </w:p>
    <w:p>
      <w:pPr>
        <w:pStyle w:val="ListBullet"/>
      </w:pPr>
      <w:r>
        <w:t>C12.3b</w:t>
      </w:r>
    </w:p>
    <w:p>
      <w:pPr>
        <w:pStyle w:val="ListBullet"/>
      </w:pPr>
      <w:r>
        <w:t>C12.3c</w:t>
      </w:r>
    </w:p>
    <w:p>
      <w:pPr>
        <w:pStyle w:val="ListBullet"/>
      </w:pPr>
      <w:r>
        <w:t>C12.3d</w:t>
      </w:r>
    </w:p>
    <w:p>
      <w:pPr>
        <w:pStyle w:val="ListBullet"/>
      </w:pPr>
      <w:r>
        <w:t>C12.3e</w:t>
      </w:r>
    </w:p>
    <w:p>
      <w:pPr>
        <w:pStyle w:val="ListBullet"/>
      </w:pPr>
      <w:r>
        <w:t>C12.3f</w:t>
      </w:r>
    </w:p>
    <w:p>
      <w:pPr>
        <w:pStyle w:val="ListBullet"/>
      </w:pPr>
      <w:r>
        <w:t>C12.3g</w:t>
      </w:r>
    </w:p>
    <w:p>
      <w:pPr>
        <w:pStyle w:val="ListBullet"/>
      </w:pPr>
      <w:r>
        <w:t>C12.4a</w:t>
      </w:r>
    </w:p>
    <w:p>
      <w:pPr>
        <w:pStyle w:val="ListBullet"/>
      </w:pPr>
      <w:r>
        <w:t>C12.4b</w:t>
      </w:r>
    </w:p>
    <w:p>
      <w:pPr>
        <w:pStyle w:val="ListBullet"/>
      </w:pPr>
      <w:r>
        <w:t>C12.4c</w:t>
      </w:r>
    </w:p>
    <w:p>
      <w:pPr>
        <w:pStyle w:val="ListBullet"/>
      </w:pPr>
      <w:r>
        <w:t>C12.4d</w:t>
      </w:r>
    </w:p>
    <w:p>
      <w:pPr>
        <w:pStyle w:val="ListBullet"/>
      </w:pPr>
      <w:r>
        <w:t>C12.4e</w:t>
      </w:r>
    </w:p>
    <w:p>
      <w:pPr>
        <w:pStyle w:val="ListBullet"/>
      </w:pPr>
      <w:r>
        <w:t>Sim</w:t>
      </w:r>
    </w:p>
    <w:p>
      <w:pPr>
        <w:pStyle w:val="ListBullet"/>
      </w:pPr>
      <w:r>
        <w:t>Nao</w:t>
      </w:r>
    </w:p>
    <w:p>
      <w:pPr>
        <w:pStyle w:val="ListBullet"/>
      </w:pPr>
      <w:r>
        <w:t>ND</w:t>
      </w:r>
    </w:p>
    <w:p>
      <w:pPr>
        <w:pStyle w:val="ListBullet"/>
      </w:pPr>
      <w:r>
        <w:t>Respondidos</w:t>
      </w:r>
    </w:p>
    <w:p>
      <w:pPr>
        <w:pStyle w:val="ListBullet"/>
      </w:pPr>
      <w:r>
        <w:t>IPR_bin</w:t>
      </w:r>
    </w:p>
    <w:p>
      <w:pPr>
        <w:pStyle w:val="Heading1"/>
      </w:pPr>
      <w:r>
        <w:t>Bloco D — Prontidão para a reforma</w:t>
      </w:r>
    </w:p>
    <w:p>
      <w:pPr>
        <w:pStyle w:val="ListBullet"/>
      </w:pPr>
      <w:r>
        <w:t>D1 — Governança da implementação — D1.1</w:t>
      </w:r>
    </w:p>
    <w:p>
      <w:pPr>
        <w:pStyle w:val="ListBullet"/>
      </w:pPr>
      <w:r>
        <w:t>D1.2</w:t>
      </w:r>
    </w:p>
    <w:p>
      <w:pPr>
        <w:pStyle w:val="ListBullet"/>
      </w:pPr>
      <w:r>
        <w:t>D1.3</w:t>
      </w:r>
    </w:p>
    <w:p>
      <w:pPr>
        <w:pStyle w:val="ListBullet"/>
      </w:pPr>
      <w:r>
        <w:t>D1_M</w:t>
      </w:r>
    </w:p>
    <w:p>
      <w:pPr>
        <w:pStyle w:val="ListBullet"/>
      </w:pPr>
      <w:r>
        <w:t>D2 — Adaptação de sistemas e processos críticos — D2.1</w:t>
      </w:r>
    </w:p>
    <w:p>
      <w:pPr>
        <w:pStyle w:val="ListBullet"/>
      </w:pPr>
      <w:r>
        <w:t>D2.2</w:t>
      </w:r>
    </w:p>
    <w:p>
      <w:pPr>
        <w:pStyle w:val="ListBullet"/>
      </w:pPr>
      <w:r>
        <w:t>D2.3</w:t>
      </w:r>
    </w:p>
    <w:p>
      <w:pPr>
        <w:pStyle w:val="ListBullet"/>
      </w:pPr>
      <w:r>
        <w:t>D2_M</w:t>
      </w:r>
    </w:p>
    <w:p>
      <w:pPr>
        <w:pStyle w:val="ListBullet"/>
      </w:pPr>
      <w:r>
        <w:t>D3 — Capacitação das equipes-chave — D3.1</w:t>
      </w:r>
    </w:p>
    <w:p>
      <w:pPr>
        <w:pStyle w:val="ListBullet"/>
      </w:pPr>
      <w:r>
        <w:t>D3.2</w:t>
      </w:r>
    </w:p>
    <w:p>
      <w:pPr>
        <w:pStyle w:val="ListBullet"/>
      </w:pPr>
      <w:r>
        <w:t>D3.3</w:t>
      </w:r>
    </w:p>
    <w:p>
      <w:pPr>
        <w:pStyle w:val="ListBullet"/>
      </w:pPr>
      <w:r>
        <w:t>D3_M</w:t>
      </w:r>
    </w:p>
    <w:p>
      <w:pPr>
        <w:pStyle w:val="ListBullet"/>
      </w:pPr>
      <w:r>
        <w:t>D4 — Execução e coordenação das entregas críticas — D4.1</w:t>
      </w:r>
    </w:p>
    <w:p>
      <w:pPr>
        <w:pStyle w:val="ListBullet"/>
      </w:pPr>
      <w:r>
        <w:t>D4.2</w:t>
      </w:r>
    </w:p>
    <w:p>
      <w:pPr>
        <w:pStyle w:val="ListBullet"/>
      </w:pPr>
      <w:r>
        <w:t>D4.3</w:t>
      </w:r>
    </w:p>
    <w:p>
      <w:pPr>
        <w:pStyle w:val="ListBullet"/>
      </w:pPr>
      <w:r>
        <w:t>D4.4</w:t>
      </w:r>
    </w:p>
    <w:p>
      <w:pPr>
        <w:pStyle w:val="ListBullet"/>
      </w:pPr>
      <w:r>
        <w:t>D4_M</w:t>
      </w:r>
    </w:p>
    <w:p>
      <w:pPr>
        <w:pStyle w:val="ListBullet"/>
      </w:pPr>
      <w:r>
        <w:t>Itens_respondidos — Itens_respondidos</w:t>
      </w:r>
    </w:p>
    <w:p>
      <w:pPr>
        <w:pStyle w:val="ListBullet"/>
      </w:pPr>
      <w:r>
        <w:t>IPR_Likert_bruto — IPR_Likert_bruto</w:t>
      </w:r>
    </w:p>
    <w:p>
      <w:pPr>
        <w:pStyle w:val="ListBullet"/>
      </w:pPr>
      <w:r>
        <w:t>IPR_Likert_0_100 — IPR_Likert_0_100</w:t>
      </w:r>
    </w:p>
    <w:p>
      <w:pPr>
        <w:pStyle w:val="Heading1"/>
      </w:pPr>
      <w:r>
        <w:t>Bloco E — Metavalidação</w:t>
      </w:r>
    </w:p>
    <w:p>
      <w:pPr>
        <w:pStyle w:val="ListBullet"/>
      </w:pPr>
      <w:r>
        <w:t>E1 — Dimensoes pertinentes para diagnosticar a maturidade</w:t>
      </w:r>
    </w:p>
    <w:p>
      <w:pPr>
        <w:pStyle w:val="ListBullet"/>
      </w:pPr>
      <w:r>
        <w:t>E2 — Reflete boas praticas nacionais e internacionais</w:t>
      </w:r>
    </w:p>
    <w:p>
      <w:pPr>
        <w:pStyle w:val="ListBullet"/>
      </w:pPr>
      <w:r>
        <w:t>E3 — Afirmacoes claras e objetivas</w:t>
      </w:r>
    </w:p>
    <w:p>
      <w:pPr>
        <w:pStyle w:val="ListBullet"/>
      </w:pPr>
      <w:r>
        <w:t>E4 — Variaveis quantitativas do Caderno C disponiveis</w:t>
      </w:r>
    </w:p>
    <w:p>
      <w:pPr>
        <w:pStyle w:val="ListBullet"/>
      </w:pPr>
      <w:r>
        <w:t>E5 — Respondivel sem sobrecarga excessiva</w:t>
      </w:r>
    </w:p>
    <w:p>
      <w:pPr>
        <w:pStyle w:val="ListBullet"/>
      </w:pPr>
      <w:r>
        <w:t>E6 — Reaplicavel com periodicidade bianual ou anual</w:t>
      </w:r>
    </w:p>
    <w:p>
      <w:pPr>
        <w:pStyle w:val="ListBullet"/>
      </w:pPr>
      <w:r>
        <w:t>E7_Dificuldades</w:t>
      </w:r>
    </w:p>
    <w:p>
      <w:pPr>
        <w:pStyle w:val="ListBullet"/>
      </w:pPr>
      <w:r>
        <w:t>E8_Sugestoes</w:t>
      </w:r>
    </w:p>
    <w:p>
      <w:pPr>
        <w:pStyle w:val="ListBullet"/>
      </w:pPr>
      <w:r>
        <w:t>E9_Comentarios</w:t>
      </w:r>
    </w:p>
    <w:p>
      <w:pPr>
        <w:pStyle w:val="ListBullet"/>
      </w:pPr>
      <w:r>
        <w:t>Media_E</w:t>
      </w:r>
    </w:p>
    <w:p>
      <w:pPr>
        <w:pStyle w:val="ListBullet"/>
      </w:pPr>
      <w:r>
        <w:t>IEI_0_100</w:t>
      </w:r>
    </w:p>
    <w:p>
      <w:pPr>
        <w:pStyle w:val="Heading1"/>
      </w:pPr>
      <w:r>
        <w:t>Errata da versão aplicada</w:t>
      </w:r>
    </w:p>
    <w:p>
      <w:pPr>
        <w:pStyle w:val="ListBullet"/>
      </w:pPr>
      <w:r>
        <w:t>O texto de abertura do Bloco C deve distinguir 61 variáveis quantitativas, 23 itens binários, 14 indicadores reportados no TFM e 30 indicadores no Anexo Metodológico.</w:t>
      </w:r>
    </w:p>
    <w:p>
      <w:pPr>
        <w:pStyle w:val="ListBullet"/>
      </w:pPr>
      <w:r>
        <w:t>A referência a C2.12 é inexistente; deve-se usar o campo de comentários gerais do Bloco C.</w:t>
      </w:r>
    </w:p>
    <w:p>
      <w:pPr>
        <w:pStyle w:val="ListBullet"/>
      </w:pPr>
      <w:r>
        <w:t>Enunciados extensos devem ser revistos antes de nova rodada, sem alteração retroativa das respostas.</w:t>
      </w:r>
    </w:p>
    <w:p>
      <w:pPr>
        <w:pStyle w:val="ListBullet"/>
      </w:pPr>
      <w:r>
        <w:t>No item E6, “bianual” deve ser corrigido para “bienal”.</w:t>
      </w:r>
    </w:p>
    <w:p>
      <w:pPr>
        <w:pStyle w:val="ListBullet"/>
      </w:pPr>
      <w:r>
        <w:t>B18 permaneceu reservada e não integrou o instrumento nem o IMI.</w:t>
      </w:r>
    </w:p>
    <w:p>
      <w:pPr>
        <w:pStyle w:val="ListBullet"/>
      </w:pPr>
      <w:r>
        <w:t>Dado indisponível deve ser codificado como ND; zero deve representar apenas valor observado substantivamente possível.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