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CENATE — Manual de preenchimento e glossário</w:t>
      </w:r>
    </w:p>
    <w:p>
      <w:pPr>
        <w:jc w:val="center"/>
      </w:pPr>
      <w:r>
        <w:rPr>
          <w:i/>
          <w:sz w:val="22"/>
        </w:rPr>
        <w:t>Versão corrigida conforme errata do Apêndice A</w:t>
      </w:r>
    </w:p>
    <w:p>
      <w:pPr>
        <w:pStyle w:val="Heading1"/>
      </w:pPr>
      <w:r>
        <w:t>1. Finalidade</w:t>
      </w:r>
    </w:p>
    <w:p>
      <w:pPr/>
      <w:r>
        <w:t>Orientar o preenchimento institucional e uniforme do CENATE. A resposta deve ser consolidada entre as áreas competentes sob coordenação de um ponto focal.</w:t>
      </w:r>
    </w:p>
    <w:p>
      <w:pPr>
        <w:pStyle w:val="Heading1"/>
      </w:pPr>
      <w:r>
        <w:t>2. Regras gerais</w:t>
      </w:r>
    </w:p>
    <w:p>
      <w:pPr/>
      <w:r>
        <w:t>Exercício de referência: utilizar o exercício solicitado no Bloco A. Valores monetários em R$ milhões nominais. Quantidades em números absolutos. Percentuais entre 0 e 100.</w:t>
      </w:r>
    </w:p>
    <w:p>
      <w:pPr/>
      <w:r>
        <w:t>Dado indisponível recebe ND, inclusive em campo numérico, e deve ser justificado em observação. Zero não é código de indisponibilidade.</w:t>
      </w:r>
    </w:p>
    <w:p>
      <w:pPr>
        <w:pStyle w:val="Heading1"/>
      </w:pPr>
      <w:r>
        <w:t>3. Bloco A</w:t>
      </w:r>
    </w:p>
    <w:p>
      <w:pPr/>
      <w:r>
        <w:t>Registra contexto institucional e informações de validação. Dados pessoais de contato não integram a base pública.</w:t>
      </w:r>
    </w:p>
    <w:p>
      <w:pPr>
        <w:pStyle w:val="Heading1"/>
      </w:pPr>
      <w:r>
        <w:t>4. Bloco B</w:t>
      </w:r>
    </w:p>
    <w:p>
      <w:pPr/>
      <w:r>
        <w:t>Cada uma das 17 dimensões possui quatro itens em escala de 1 a 5. Utilizar os descritores comportamentais dos níveis 1, 3 e 5; os níveis 2 e 4 representam situações intermediárias. B18 não integra a aplicação.</w:t>
      </w:r>
    </w:p>
    <w:p>
      <w:pPr>
        <w:pStyle w:val="Heading1"/>
      </w:pPr>
      <w:r>
        <w:t>5. Bloco C</w:t>
      </w:r>
    </w:p>
    <w:p>
      <w:pPr/>
      <w:r>
        <w:t>Informar dados quantitativos conforme unidade declarada. A instrução correta para comentários é o campo geral do Bloco C. Os campos C1 a C11 totalizam 61 variáveis; C12 contém 23 itens Sim/Não/ND.</w:t>
      </w:r>
    </w:p>
    <w:p>
      <w:pPr>
        <w:pStyle w:val="Heading1"/>
      </w:pPr>
      <w:r>
        <w:t>6. Bloco D</w:t>
      </w:r>
    </w:p>
    <w:p>
      <w:pPr/>
      <w:r>
        <w:t>Avaliar prontidão para a reforma em 13 itens Likert, agrupados em quatro dimensões.</w:t>
      </w:r>
    </w:p>
    <w:p>
      <w:pPr>
        <w:pStyle w:val="Heading1"/>
      </w:pPr>
      <w:r>
        <w:t>7. Bloco E</w:t>
      </w:r>
    </w:p>
    <w:p>
      <w:pPr/>
      <w:r>
        <w:t>Avaliar o próprio instrumento. Em E6, a periodicidade pretendida é bienal.</w:t>
      </w:r>
    </w:p>
    <w:p>
      <w:pPr>
        <w:pStyle w:val="Heading1"/>
      </w:pPr>
      <w:r>
        <w:t>8. Glossário</w:t>
      </w:r>
    </w:p>
    <w:p>
      <w:pPr/>
      <w:r>
        <w:t>BARS: escala ancorada em comportamentos. IMI: Índice de Maturidade Institucional. IPR: Índice de Prioridade para Reforma. IEI: Índice de Avaliação do Instrumento. ND: não disponível. CENATE: Censo Nacional das Administrações Tributárias Estaduais.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