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CENATE — Fluxo de tratamento de dados</w:t>
      </w:r>
    </w:p>
    <w:p>
      <w:pPr>
        <w:jc w:val="center"/>
      </w:pPr>
      <w:r>
        <w:rPr>
          <w:i/>
          <w:sz w:val="22"/>
        </w:rPr>
        <w:t>Especificação detalhada em 11 etapas</w:t>
      </w:r>
    </w:p>
    <w:p>
      <w:pPr>
        <w:pStyle w:val="Heading1"/>
      </w:pPr>
      <w:r>
        <w:t>1. Recepção e congelamento</w:t>
      </w:r>
    </w:p>
    <w:p>
      <w:pPr/>
      <w:r>
        <w:t>Preservar cópia imutável da exportação original, registrar versão e restringir acesso.</w:t>
      </w:r>
    </w:p>
    <w:p>
      <w:pPr>
        <w:pStyle w:val="Heading1"/>
      </w:pPr>
      <w:r>
        <w:t>2. Separação de camadas</w:t>
      </w:r>
    </w:p>
    <w:p>
      <w:pPr/>
      <w:r>
        <w:t>Manter dados brutos, staging e base analítica em arquivos ou abas distintas.</w:t>
      </w:r>
    </w:p>
    <w:p>
      <w:pPr>
        <w:pStyle w:val="Heading1"/>
      </w:pPr>
      <w:r>
        <w:t>3. Remoção de identificadores</w:t>
      </w:r>
    </w:p>
    <w:p>
      <w:pPr/>
      <w:r>
        <w:t>Excluir nomes, cargos e contatos da camada analítica.</w:t>
      </w:r>
    </w:p>
    <w:p>
      <w:pPr>
        <w:pStyle w:val="Heading1"/>
      </w:pPr>
      <w:r>
        <w:t>4. Codificação neutra</w:t>
      </w:r>
    </w:p>
    <w:p>
      <w:pPr/>
      <w:r>
        <w:t>Substituir a identificação territorial por códigos UF-01 a UF-27 e manter a chave fora do repositório.</w:t>
      </w:r>
    </w:p>
    <w:p>
      <w:pPr>
        <w:pStyle w:val="Heading1"/>
      </w:pPr>
      <w:r>
        <w:t>5. Padronização estrutural</w:t>
      </w:r>
    </w:p>
    <w:p>
      <w:pPr/>
      <w:r>
        <w:t>Uniformizar nomes, tipos, separador decimal, valores monetários e categorias.</w:t>
      </w:r>
    </w:p>
    <w:p>
      <w:pPr>
        <w:pStyle w:val="Heading1"/>
      </w:pPr>
      <w:r>
        <w:t>6. Validação de domínio e completude</w:t>
      </w:r>
    </w:p>
    <w:p>
      <w:pPr/>
      <w:r>
        <w:t>Verificar Likert 1–5, percentuais 0–100, domínios Sim/Não/ND e campos esperados.</w:t>
      </w:r>
    </w:p>
    <w:p>
      <w:pPr>
        <w:pStyle w:val="Heading1"/>
      </w:pPr>
      <w:r>
        <w:t>7. Tratamento de indisponibilidade</w:t>
      </w:r>
    </w:p>
    <w:p>
      <w:pPr/>
      <w:r>
        <w:t>Distinguir vazio, ND e zero observado. Não imputar automaticamente o caderno quantitativo.</w:t>
      </w:r>
    </w:p>
    <w:p>
      <w:pPr>
        <w:pStyle w:val="Heading1"/>
      </w:pPr>
      <w:r>
        <w:t>8. Plausibilidade e consistência</w:t>
      </w:r>
    </w:p>
    <w:p>
      <w:pPr/>
      <w:r>
        <w:t>Testar totais, subtotais, numeradores, denominadores e relações aritméticas.</w:t>
      </w:r>
    </w:p>
    <w:p>
      <w:pPr>
        <w:pStyle w:val="Heading1"/>
      </w:pPr>
      <w:r>
        <w:t>9. Diligência com o informante</w:t>
      </w:r>
    </w:p>
    <w:p>
      <w:pPr/>
      <w:r>
        <w:t>Submeter inconsistências para confirmação ou retificação, sem correção de ofício.</w:t>
      </w:r>
    </w:p>
    <w:p>
      <w:pPr>
        <w:pStyle w:val="Heading1"/>
      </w:pPr>
      <w:r>
        <w:t>10. Cálculo e tabulação</w:t>
      </w:r>
    </w:p>
    <w:p>
      <w:pPr/>
      <w:r>
        <w:t>Calcular dimensões, indicadores, IMI, IPR e IEI com denominadores válidos.</w:t>
      </w:r>
    </w:p>
    <w:p>
      <w:pPr>
        <w:pStyle w:val="Heading1"/>
      </w:pPr>
      <w:r>
        <w:t>11. Divulgação e auditoria</w:t>
      </w:r>
    </w:p>
    <w:p>
      <w:pPr/>
      <w:r>
        <w:t>Gerar base pública e tabelas, revisar reidentificação, excluir chave e originais identificáveis e registrar o manifesto.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