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28"/>
          <w:szCs w:val="28"/>
        </w:rPr>
        <w:t xml:space="preserve">UNIVERSIDADE DO VALE DO RIO DOS SINOS</w:t>
      </w:r>
    </w:p>
    <w:p>
      <w:pPr>
        <w:spacing w:after="800"/>
        <w:jc w:val="center"/>
      </w:pPr>
      <w:r>
        <w:rPr>
          <w:rFonts w:ascii="Arial" w:cs="Arial" w:eastAsia="Arial" w:hAnsi="Arial"/>
          <w:b/>
          <w:bCs/>
          <w:sz w:val="24"/>
          <w:szCs w:val="24"/>
        </w:rPr>
        <w:t xml:space="preserve">Especialização em Big Data, Data Science e Data Analytics</w:t>
      </w:r>
    </w:p>
    <w:p>
      <w:pPr>
        <w:spacing w:after="800"/>
        <w:jc w:val="center"/>
      </w:pPr>
      <w:r>
        <w:rPr>
          <w:rFonts w:ascii="Arial" w:cs="Arial" w:eastAsia="Arial" w:hAnsi="Arial"/>
          <w:b/>
          <w:bCs/>
          <w:sz w:val="28"/>
          <w:szCs w:val="28"/>
        </w:rPr>
        <w:t xml:space="preserve">CARLOS JOSÉ TEIXEIRA</w:t>
      </w:r>
    </w:p>
    <w:p>
      <w:pPr>
        <w:spacing w:after="400"/>
        <w:jc w:val="center"/>
      </w:pPr>
      <w:r>
        <w:rPr>
          <w:rFonts w:ascii="Arial" w:cs="Arial" w:eastAsia="Arial" w:hAnsi="Arial"/>
          <w:b/>
          <w:bCs/>
          <w:sz w:val="28"/>
          <w:szCs w:val="28"/>
        </w:rPr>
        <w:t xml:space="preserve">ÍNDICE COMPOSTO DE DIGITALIZAÇÃO TRIBUTÁRIA (ICDI):</w:t>
      </w:r>
    </w:p>
    <w:p>
      <w:pPr>
        <w:spacing w:after="400"/>
        <w:jc w:val="center"/>
      </w:pPr>
      <w:r>
        <w:rPr>
          <w:rFonts w:ascii="Arial" w:cs="Arial" w:eastAsia="Arial" w:hAnsi="Arial"/>
          <w:b/>
          <w:bCs/>
          <w:sz w:val="28"/>
          <w:szCs w:val="28"/>
        </w:rPr>
        <w:t xml:space="preserve">RANKING GLOBAL DE DESEMPENHO DAS ADMINISTRAÇÕES TRIBUTÁRIAS NACIONAIS COM BASE NO ISORA</w:t>
      </w:r>
    </w:p>
    <w:p>
      <w:pPr>
        <w:spacing w:after="800"/>
        <w:jc w:val="center"/>
      </w:pPr>
      <w:r>
        <w:rPr>
          <w:rFonts w:ascii="Arial" w:cs="Arial" w:eastAsia="Arial" w:hAnsi="Arial"/>
          <w:sz w:val="24"/>
          <w:szCs w:val="24"/>
        </w:rPr>
        <w:t xml:space="preserve">Construção, Validação e Aplicação de um Indicador de Eficiência da Digitalização por meio de PCA, EWM e DEA</w:t>
      </w:r>
    </w:p>
    <w:p>
      <w:pPr>
        <w:spacing w:after="100"/>
      </w:pPr>
      <w:r>
        <w:rPr>
          <w:rFonts w:ascii="Arial" w:cs="Arial" w:eastAsia="Arial" w:hAnsi="Arial"/>
          <w:sz w:val="24"/>
          <w:szCs w:val="24"/>
        </w:rPr>
        <w:t xml:space="preserve"/>
      </w:r>
    </w:p>
    <w:p>
      <w:pPr>
        <w:spacing w:after="100"/>
      </w:pPr>
      <w:r>
        <w:rPr>
          <w:rFonts w:ascii="Arial" w:cs="Arial" w:eastAsia="Arial" w:hAnsi="Arial"/>
          <w:sz w:val="24"/>
          <w:szCs w:val="24"/>
        </w:rPr>
        <w:t xml:space="preserve"/>
      </w:r>
    </w:p>
    <w:p>
      <w:pPr>
        <w:spacing w:after="200"/>
        <w:jc w:val="center"/>
      </w:pPr>
      <w:r>
        <w:rPr>
          <w:rFonts w:ascii="Arial" w:cs="Arial" w:eastAsia="Arial" w:hAnsi="Arial"/>
          <w:b/>
          <w:bCs/>
          <w:sz w:val="24"/>
          <w:szCs w:val="24"/>
        </w:rPr>
        <w:t xml:space="preserve">SÃO LEOPOLDO</w:t>
      </w:r>
    </w:p>
    <w:p>
      <w:pPr>
        <w:spacing w:after="200"/>
        <w:jc w:val="center"/>
      </w:pPr>
      <w:r>
        <w:rPr>
          <w:rFonts w:ascii="Arial" w:cs="Arial" w:eastAsia="Arial" w:hAnsi="Arial"/>
          <w:b/>
          <w:bCs/>
          <w:sz w:val="24"/>
          <w:szCs w:val="24"/>
        </w:rPr>
        <w:t xml:space="preserve">2025</w:t>
      </w:r>
    </w:p>
    <w:p>
      <w:r>
        <w:br w:type="page"/>
      </w:r>
    </w:p>
    <w:p>
      <w:pPr>
        <w:spacing w:after="800"/>
        <w:jc w:val="center"/>
      </w:pPr>
      <w:r>
        <w:rPr>
          <w:rFonts w:ascii="Arial" w:cs="Arial" w:eastAsia="Arial" w:hAnsi="Arial"/>
          <w:b/>
          <w:bCs/>
          <w:sz w:val="28"/>
          <w:szCs w:val="28"/>
        </w:rPr>
        <w:t xml:space="preserve">CARLOS JOSÉ TEIXEIRA</w:t>
      </w:r>
    </w:p>
    <w:p>
      <w:pPr>
        <w:spacing w:after="400"/>
        <w:jc w:val="center"/>
      </w:pPr>
      <w:r>
        <w:rPr>
          <w:rFonts w:ascii="Arial" w:cs="Arial" w:eastAsia="Arial" w:hAnsi="Arial"/>
          <w:b/>
          <w:bCs/>
          <w:sz w:val="26"/>
          <w:szCs w:val="26"/>
        </w:rPr>
        <w:t xml:space="preserve">ÍNDICE COMPOSTO DE DIGITALIZAÇÃO TRIBUTÁRIA (ICDI): RANKING GLOBAL DE DESEMPENHO DAS ADMINISTRAÇÕES TRIBUTÁRIAS NACIONAIS COM BASE NO ISORA</w:t>
      </w:r>
    </w:p>
    <w:p>
      <w:pPr>
        <w:spacing w:after="400"/>
        <w:jc w:val="center"/>
      </w:pPr>
      <w:r>
        <w:rPr>
          <w:rFonts w:ascii="Arial" w:cs="Arial" w:eastAsia="Arial" w:hAnsi="Arial"/>
          <w:sz w:val="24"/>
          <w:szCs w:val="24"/>
        </w:rPr>
        <w:t xml:space="preserve">Construção, Validação e Aplicação de um Indicador de eficiência da Digitalização por meio de PCA, EWM e DEA</w:t>
      </w:r>
    </w:p>
    <w:p>
      <w:pPr>
        <w:spacing w:after="100"/>
      </w:pPr>
      <w:r>
        <w:rPr>
          <w:rFonts w:ascii="Arial" w:cs="Arial" w:eastAsia="Arial" w:hAnsi="Arial"/>
          <w:sz w:val="24"/>
          <w:szCs w:val="24"/>
        </w:rPr>
        <w:t xml:space="preserve"/>
      </w:r>
    </w:p>
    <w:p>
      <w:pPr>
        <w:spacing w:after="300"/>
        <w:jc w:val="right"/>
      </w:pPr>
      <w:r>
        <w:rPr>
          <w:rFonts w:ascii="Arial" w:cs="Arial" w:eastAsia="Arial" w:hAnsi="Arial"/>
          <w:sz w:val="22"/>
          <w:szCs w:val="22"/>
        </w:rPr>
        <w:t xml:space="preserve">Trabalho de Conclusão de Curso apresentado como requisito parcial para a obtenção do título de Especialista em Big Data, Data Science e Data Analytics da Universidade do Vale do Rio dos Sinos.</w:t>
      </w:r>
    </w:p>
    <w:p>
      <w:pPr>
        <w:spacing w:after="800"/>
        <w:jc w:val="right"/>
      </w:pPr>
      <w:r>
        <w:rPr>
          <w:rFonts w:ascii="Arial" w:cs="Arial" w:eastAsia="Arial" w:hAnsi="Arial"/>
          <w:sz w:val="22"/>
          <w:szCs w:val="22"/>
        </w:rPr>
        <w:t xml:space="preserve">Orientador: Prof. Me. Alexandro Marian Carvalho</w:t>
      </w:r>
    </w:p>
    <w:p>
      <w:pPr>
        <w:spacing w:after="200"/>
        <w:jc w:val="center"/>
      </w:pPr>
      <w:r>
        <w:rPr>
          <w:rFonts w:ascii="Arial" w:cs="Arial" w:eastAsia="Arial" w:hAnsi="Arial"/>
          <w:sz w:val="24"/>
          <w:szCs w:val="24"/>
        </w:rPr>
        <w:t xml:space="preserve">SÃO LEOPOLDO — RS</w:t>
      </w:r>
    </w:p>
    <w:p>
      <w:pPr>
        <w:spacing w:after="200"/>
        <w:jc w:val="center"/>
      </w:pPr>
      <w:r>
        <w:rPr>
          <w:rFonts w:ascii="Arial" w:cs="Arial" w:eastAsia="Arial" w:hAnsi="Arial"/>
          <w:sz w:val="24"/>
          <w:szCs w:val="24"/>
        </w:rPr>
        <w:t xml:space="preserve">2025</w:t>
      </w:r>
    </w:p>
    <w:p>
      <w:r>
        <w:br w:type="page"/>
      </w:r>
    </w:p>
    <w:p>
      <w:pPr>
        <w:pStyle w:val="Heading1"/>
      </w:pPr>
      <w:r>
        <w:rPr>
          <w:rFonts w:ascii="Arial" w:cs="Arial" w:eastAsia="Arial" w:hAnsi="Arial"/>
          <w:b/>
          <w:bCs/>
          <w:sz w:val="32"/>
          <w:szCs w:val="32"/>
        </w:rPr>
        <w:t xml:space="preserve">NOTA SOBRE ESTA VERSÃO DE PUBLICAÇÃO</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Esta versão da monografia foi preparada para fins de publicação e incorpora as seguintes melhorias em relação à versão originalmente apresentada na UNISINOS (avaliação: nota 9,0):</w:t>
      </w:r>
    </w:p>
    <w:p>
      <w:pPr>
        <w:spacing w:after="100"/>
      </w:pPr>
      <w:r>
        <w:rPr>
          <w:rFonts w:ascii="Arial" w:cs="Arial" w:eastAsia="Arial" w:hAnsi="Arial"/>
          <w:sz w:val="24"/>
          <w:szCs w:val="24"/>
        </w:rPr>
        <w:t xml:space="preserve"/>
      </w:r>
    </w:p>
    <w:p>
      <w:pPr>
        <w:spacing w:after="200"/>
      </w:pPr>
      <w:r>
        <w:rPr>
          <w:rFonts w:ascii="Arial" w:cs="Arial" w:eastAsia="Arial" w:hAnsi="Arial"/>
          <w:b/>
          <w:bCs/>
          <w:sz w:val="24"/>
          <w:szCs w:val="24"/>
        </w:rPr>
        <w:t xml:space="preserve">1. Reprodutibilidade e Publicação no GitHub (Apêndice B)</w:t>
      </w:r>
      <w:r>
        <w:rPr>
          <w:rFonts w:ascii="Arial" w:cs="Arial" w:eastAsia="Arial" w:hAnsi="Arial"/>
          <w:sz w:val="24"/>
          <w:szCs w:val="24"/>
        </w:rPr>
        <w:t xml:space="preserve"> — </w:t>
      </w:r>
    </w:p>
    <w:p>
      <w:pPr>
        <w:spacing w:after="200"/>
      </w:pPr>
      <w:r>
        <w:rPr>
          <w:rFonts w:ascii="Arial" w:cs="Arial" w:eastAsia="Arial" w:hAnsi="Arial"/>
          <w:sz w:val="24"/>
          <w:szCs w:val="24"/>
        </w:rPr>
        <w:t xml:space="preserve">Os artefatos computacionais completos para o cálculo do ICDI foram organizados e publicados em repositório público no GitHub (https://github.com/carlos-teixeira-icdi/icdi), sob licença MIT. O repositório inclui o script Python principal (icdi_calculator.py), Jupyter Notebook interativo, estrutura de dados ISORA e documentação metodológica completa, permitindo replicação integral do pipeline por qualquer pesquisador.</w:t>
      </w:r>
    </w:p>
    <w:p>
      <w:pPr>
        <w:spacing w:after="100"/>
      </w:pPr>
      <w:r>
        <w:rPr>
          <w:rFonts w:ascii="Arial" w:cs="Arial" w:eastAsia="Arial" w:hAnsi="Arial"/>
          <w:sz w:val="24"/>
          <w:szCs w:val="24"/>
        </w:rPr>
        <w:t xml:space="preserve"/>
      </w:r>
    </w:p>
    <w:p>
      <w:pPr>
        <w:spacing w:after="200"/>
      </w:pPr>
      <w:r>
        <w:rPr>
          <w:rFonts w:ascii="Arial" w:cs="Arial" w:eastAsia="Arial" w:hAnsi="Arial"/>
          <w:b/>
          <w:bCs/>
          <w:sz w:val="24"/>
          <w:szCs w:val="24"/>
        </w:rPr>
        <w:t xml:space="preserve">2. Equação explícita do ICDI no corpo da monografia (Capítulo 3 e Apêndice C)</w:t>
      </w:r>
      <w:r>
        <w:rPr>
          <w:rFonts w:ascii="Arial" w:cs="Arial" w:eastAsia="Arial" w:hAnsi="Arial"/>
          <w:sz w:val="24"/>
          <w:szCs w:val="24"/>
        </w:rPr>
        <w:t xml:space="preserve"> — </w:t>
      </w:r>
    </w:p>
    <w:p>
      <w:pPr>
        <w:spacing w:after="200"/>
      </w:pPr>
      <w:r>
        <w:rPr>
          <w:rFonts w:ascii="Arial" w:cs="Arial" w:eastAsia="Arial" w:hAnsi="Arial"/>
          <w:sz w:val="24"/>
          <w:szCs w:val="24"/>
        </w:rPr>
        <w:t xml:space="preserve">A fórmula central de cálculo do ICDI foi inserida de forma explícita e destacada no texto do Capítulo 3 (subitem 3.5.4), acompanhada da descrição completa de todos os parâmetros. O Apêndice C apresenta adicionalmente o sistema completo de equações (Eq. 1 a Eq. 5 e Equação Final), com demonstração passo a passo do cálculo aplicado ao caso do Brasil.</w:t>
      </w:r>
    </w:p>
    <w:p>
      <w:pPr>
        <w:spacing w:after="100"/>
      </w:pPr>
      <w:r>
        <w:rPr>
          <w:rFonts w:ascii="Arial" w:cs="Arial" w:eastAsia="Arial" w:hAnsi="Arial"/>
          <w:sz w:val="24"/>
          <w:szCs w:val="24"/>
        </w:rPr>
        <w:t xml:space="preserve"/>
      </w:r>
    </w:p>
    <w:p>
      <w:pPr>
        <w:spacing w:after="200"/>
      </w:pPr>
      <w:r>
        <w:rPr>
          <w:rFonts w:ascii="Arial" w:cs="Arial" w:eastAsia="Arial" w:hAnsi="Arial"/>
          <w:b/>
          <w:bCs/>
          <w:sz w:val="24"/>
          <w:szCs w:val="24"/>
        </w:rPr>
        <w:t xml:space="preserve">3. Ranking completo do ICDI (Apêndice D)</w:t>
      </w:r>
      <w:r>
        <w:rPr>
          <w:rFonts w:ascii="Arial" w:cs="Arial" w:eastAsia="Arial" w:hAnsi="Arial"/>
          <w:sz w:val="24"/>
          <w:szCs w:val="24"/>
        </w:rPr>
        <w:t xml:space="preserve"> — </w:t>
      </w:r>
    </w:p>
    <w:p>
      <w:pPr>
        <w:spacing w:after="200"/>
      </w:pPr>
      <w:r>
        <w:rPr>
          <w:rFonts w:ascii="Arial" w:cs="Arial" w:eastAsia="Arial" w:hAnsi="Arial"/>
          <w:sz w:val="24"/>
          <w:szCs w:val="24"/>
        </w:rPr>
        <w:t xml:space="preserve">O ranking global das 132 jurisdições avaliadas pelo ICDI para o ano fiscal de 2023 foi incluído como Apêndice D, contendo o escore ICDI, a região geoeconômica, o índice de maturidade digital (PCA/EWM) e o escore de eficiência relativa (DEA-VRS) de cada jurisdição.</w:t>
      </w:r>
    </w:p>
    <w:p>
      <w:pPr>
        <w:spacing w:after="100"/>
      </w:pPr>
      <w:r>
        <w:rPr>
          <w:rFonts w:ascii="Arial" w:cs="Arial" w:eastAsia="Arial" w:hAnsi="Arial"/>
          <w:sz w:val="24"/>
          <w:szCs w:val="24"/>
        </w:rPr>
        <w:t xml:space="preserve"/>
      </w:r>
    </w:p>
    <w:p>
      <w:pPr>
        <w:spacing w:after="200"/>
      </w:pPr>
      <w:r>
        <w:rPr>
          <w:rFonts w:ascii="Arial" w:cs="Arial" w:eastAsia="Arial" w:hAnsi="Arial"/>
          <w:b/>
          <w:bCs/>
          <w:sz w:val="24"/>
          <w:szCs w:val="24"/>
        </w:rPr>
        <w:t xml:space="preserve">4. Demonstração detalhada do cálculo (Apêndice C)</w:t>
      </w:r>
      <w:r>
        <w:rPr>
          <w:rFonts w:ascii="Arial" w:cs="Arial" w:eastAsia="Arial" w:hAnsi="Arial"/>
          <w:sz w:val="24"/>
          <w:szCs w:val="24"/>
        </w:rPr>
        <w:t xml:space="preserve"> — </w:t>
      </w:r>
    </w:p>
    <w:p>
      <w:pPr>
        <w:spacing w:after="200"/>
      </w:pPr>
      <w:r>
        <w:rPr>
          <w:rFonts w:ascii="Arial" w:cs="Arial" w:eastAsia="Arial" w:hAnsi="Arial"/>
          <w:sz w:val="24"/>
          <w:szCs w:val="24"/>
        </w:rPr>
        <w:t xml:space="preserve">O Apêndice C apresenta uma demonstração numérica completa e didática do cálculo do ICDI, incluindo os dados de entrada para o Brasil, a aplicação passo a passo de cada equação, os resultados intermediários (maturidade digital e eficiência DEA) e o resultado final (ICDI = 84,91 pontos, 18ª posição mundial), facilitando a compreensão e auditoria do modelo.</w:t>
      </w:r>
    </w:p>
    <w:p>
      <w:pPr>
        <w:spacing w:after="100"/>
      </w:pPr>
      <w:r>
        <w:rPr>
          <w:rFonts w:ascii="Arial" w:cs="Arial" w:eastAsia="Arial" w:hAnsi="Arial"/>
          <w:sz w:val="24"/>
          <w:szCs w:val="24"/>
        </w:rPr>
        <w:t xml:space="preserve"/>
      </w:r>
    </w:p>
    <w:p>
      <w:r>
        <w:br w:type="page"/>
      </w:r>
    </w:p>
    <w:p>
      <w:pPr>
        <w:pStyle w:val="Heading1"/>
      </w:pPr>
      <w:r>
        <w:rPr>
          <w:rFonts w:ascii="Arial" w:cs="Arial" w:eastAsia="Arial" w:hAnsi="Arial"/>
          <w:b/>
          <w:bCs/>
          <w:sz w:val="32"/>
          <w:szCs w:val="32"/>
        </w:rPr>
        <w:t xml:space="preserve">RESUMO</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Este estudo propõe o Índice Composto de Digitalização Tributária (ICDI) como instrumento quantitativo para classificar o desempenho das administrações tributárias nacionais sob a ótica da eficiência operacional digital, com base nas ondas 2018, 2020 e 2023 do International Survey on Revenue Administration (ISORA). A amostra abrange 132 jurisdições com taxa mínima de completude de 80%. A construção do índice integra técnicas multivariadas consagradas: análise de componentes principais (PCA) para redução dimensional, Entropy Weight Method (EWM) para ponderação objetiva e análise envoltória de dados com retornos variáveis à escala DEA (VRS) para mensuração da eficiência relativa, com padronização dos escores em escala de 0 a 100. A equação central do ICDI é: ICDI_i = 100 × [α × Maturidade_i + (1 − α) × Eficiência_i], com α = 0,6, calibrado por análise de sensibilidade. A robustez metodológica foi assegurada por meio de simulações de Monte Carlo, validação cruzada k-fold e análise comparativa com práticas de benchmarking institucional da OCDE, CIAT e Banco Mundial. Os resultados evidenciam avanço significativo da digitalização tributária no período pós-pandemia, com destaque para jurisdições como Estônia, Chile e México, enquanto a América Latina e o Caribe apresentam heterogeneidades relevantes (média regional = 78,40 pontos). O Brasil posicionou-se na 18ª colocação mundial, com ICDI = 84,91 pontos, evidenciando elevada maturidade em automação declaratória (e-filing ≈ 95%), mas lacunas em integração sistêmica e uso avançado de analytics. Os artefatos computacionais estão disponíveis em repositório público no GitHub. Conclui-se que o ICDI é um instrumento robusto de benchmarking internacional e possui potencial prescritivo para orientar estratégias de modernização institucional, melhoria da conformidade tributária e consequente redução do tax gap, com impactos na sustentabilidade fiscal.</w:t>
      </w:r>
    </w:p>
    <w:p>
      <w:pPr>
        <w:spacing w:after="100"/>
      </w:pPr>
      <w:r>
        <w:rPr>
          <w:rFonts w:ascii="Arial" w:cs="Arial" w:eastAsia="Arial" w:hAnsi="Arial"/>
          <w:sz w:val="24"/>
          <w:szCs w:val="24"/>
        </w:rPr>
        <w:t xml:space="preserve"/>
      </w:r>
    </w:p>
    <w:p>
      <w:pPr>
        <w:spacing w:after="200"/>
      </w:pPr>
      <w:r>
        <w:rPr>
          <w:rFonts w:ascii="Arial" w:cs="Arial" w:eastAsia="Arial" w:hAnsi="Arial"/>
          <w:b/>
          <w:bCs/>
          <w:sz w:val="24"/>
          <w:szCs w:val="24"/>
        </w:rPr>
        <w:t xml:space="preserve">Palavras-chave: Digitalização tributária; índice composto; PCA; DEA; ISORA; administração tributária; reprodutibilidade.</w:t>
      </w:r>
    </w:p>
    <w:p>
      <w:pPr>
        <w:spacing w:after="100"/>
      </w:pPr>
      <w:r>
        <w:rPr>
          <w:rFonts w:ascii="Arial" w:cs="Arial" w:eastAsia="Arial" w:hAnsi="Arial"/>
          <w:sz w:val="24"/>
          <w:szCs w:val="24"/>
        </w:rPr>
        <w:t xml:space="preserve"/>
      </w:r>
    </w:p>
    <w:p>
      <w:r>
        <w:br w:type="page"/>
      </w:r>
    </w:p>
    <w:p>
      <w:pPr>
        <w:pStyle w:val="Heading1"/>
      </w:pPr>
      <w:r>
        <w:rPr>
          <w:rFonts w:ascii="Arial" w:cs="Arial" w:eastAsia="Arial" w:hAnsi="Arial"/>
          <w:b/>
          <w:bCs/>
          <w:sz w:val="32"/>
          <w:szCs w:val="32"/>
        </w:rPr>
        <w:t xml:space="preserve">ABSTRACT</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This study proposes the Composite Index of Tax Digitalization (ICDI) as a quantitative instrument to rank the performance of national tax administrations from the perspective of digital operational efficiency, based on the 2018, 2020, and 2023 waves of the International Survey on Revenue Administration (ISORA). The sample comprises 132 jurisdictions with a minimum completeness rate of 80%. The index construction integrates established multivariate techniques: principal component analysis (PCA) for dimensionality reduction, Entropy Weight Method (EWM) for objective weighting, and data envelopment analysis with variable returns to scale (DEA-VRS) for measuring relative efficiency, with scores standardized on a 0–100 scale. The central ICDI formula is: ICDI_i = 100 × [α × Maturity_i + (1 − α) × Efficiency_i], with α = 0.6. Methodological robustness was ensured through Monte Carlo simulations, k-fold cross-validation, and comparative benchmarking with institutional practices from the OECD, CIAT, and World Bank. The results reveal significant advancement in tax digitalization in the post-pandemic period, with Estonia, Chile, and Mexico leading the ranking. Latin America and the Caribbean exhibit relevant heterogeneity (regional average = 78.40 points). Brazil ranked 18th worldwide, with an ICDI score of 84.91 points. All computational artifacts are publicly available on GitHub. It is concluded that the ICDI is a robust international benchmarking tool with prescriptive potential to guide institutional modernization strategies, improve tax compliance, and reduce the tax gap.</w:t>
      </w:r>
    </w:p>
    <w:p>
      <w:pPr>
        <w:spacing w:after="100"/>
      </w:pPr>
      <w:r>
        <w:rPr>
          <w:rFonts w:ascii="Arial" w:cs="Arial" w:eastAsia="Arial" w:hAnsi="Arial"/>
          <w:sz w:val="24"/>
          <w:szCs w:val="24"/>
        </w:rPr>
        <w:t xml:space="preserve"/>
      </w:r>
    </w:p>
    <w:p>
      <w:pPr>
        <w:spacing w:after="200"/>
      </w:pPr>
      <w:r>
        <w:rPr>
          <w:rFonts w:ascii="Arial" w:cs="Arial" w:eastAsia="Arial" w:hAnsi="Arial"/>
          <w:b/>
          <w:bCs/>
          <w:sz w:val="24"/>
          <w:szCs w:val="24"/>
        </w:rPr>
        <w:t xml:space="preserve">Keywords: Tax digitalization; composite index; PCA; DEA; ISORA; tax administration; reproducibility.</w:t>
      </w:r>
    </w:p>
    <w:p>
      <w:pPr>
        <w:spacing w:after="100"/>
      </w:pPr>
      <w:r>
        <w:rPr>
          <w:rFonts w:ascii="Arial" w:cs="Arial" w:eastAsia="Arial" w:hAnsi="Arial"/>
          <w:sz w:val="24"/>
          <w:szCs w:val="24"/>
        </w:rPr>
        <w:t xml:space="preserve"/>
      </w:r>
    </w:p>
    <w:p>
      <w:r>
        <w:br w:type="page"/>
      </w:r>
    </w:p>
    <w:p>
      <w:pPr>
        <w:pStyle w:val="Heading1"/>
      </w:pPr>
      <w:r>
        <w:rPr>
          <w:rFonts w:ascii="Arial" w:cs="Arial" w:eastAsia="Arial" w:hAnsi="Arial"/>
          <w:b/>
          <w:bCs/>
          <w:sz w:val="32"/>
          <w:szCs w:val="32"/>
        </w:rPr>
        <w:t xml:space="preserve">SUMÁRIO</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1  INTRODUÇÃO...................................................................................................14</w:t>
      </w:r>
    </w:p>
    <w:p>
      <w:pPr>
        <w:spacing w:after="200"/>
      </w:pPr>
      <w:r>
        <w:rPr>
          <w:rFonts w:ascii="Arial" w:cs="Arial" w:eastAsia="Arial" w:hAnsi="Arial"/>
          <w:sz w:val="24"/>
          <w:szCs w:val="24"/>
        </w:rPr>
        <w:t xml:space="preserve">   1.1  Tema......................................................................................................14</w:t>
      </w:r>
    </w:p>
    <w:p>
      <w:pPr>
        <w:spacing w:after="200"/>
      </w:pPr>
      <w:r>
        <w:rPr>
          <w:rFonts w:ascii="Arial" w:cs="Arial" w:eastAsia="Arial" w:hAnsi="Arial"/>
          <w:sz w:val="24"/>
          <w:szCs w:val="24"/>
        </w:rPr>
        <w:t xml:space="preserve">   1.2  Delimitação do tema................................................................................14</w:t>
      </w:r>
    </w:p>
    <w:p>
      <w:pPr>
        <w:spacing w:after="200"/>
      </w:pPr>
      <w:r>
        <w:rPr>
          <w:rFonts w:ascii="Arial" w:cs="Arial" w:eastAsia="Arial" w:hAnsi="Arial"/>
          <w:sz w:val="24"/>
          <w:szCs w:val="24"/>
        </w:rPr>
        <w:t xml:space="preserve">   1.3  Problema de pesquisa..............................................................................14</w:t>
      </w:r>
    </w:p>
    <w:p>
      <w:pPr>
        <w:spacing w:after="200"/>
      </w:pPr>
      <w:r>
        <w:rPr>
          <w:rFonts w:ascii="Arial" w:cs="Arial" w:eastAsia="Arial" w:hAnsi="Arial"/>
          <w:sz w:val="24"/>
          <w:szCs w:val="24"/>
        </w:rPr>
        <w:t xml:space="preserve">   1.4  Objetivos................................................................................................15</w:t>
      </w:r>
    </w:p>
    <w:p>
      <w:pPr>
        <w:spacing w:after="200"/>
      </w:pPr>
      <w:r>
        <w:rPr>
          <w:rFonts w:ascii="Arial" w:cs="Arial" w:eastAsia="Arial" w:hAnsi="Arial"/>
          <w:sz w:val="24"/>
          <w:szCs w:val="24"/>
        </w:rPr>
        <w:t xml:space="preserve">   1.5  Justificativa............................................................................................16</w:t>
      </w:r>
    </w:p>
    <w:p>
      <w:pPr>
        <w:spacing w:after="200"/>
      </w:pPr>
      <w:r>
        <w:rPr>
          <w:rFonts w:ascii="Arial" w:cs="Arial" w:eastAsia="Arial" w:hAnsi="Arial"/>
          <w:sz w:val="24"/>
          <w:szCs w:val="24"/>
        </w:rPr>
        <w:t xml:space="preserve">2  FUNDAMENTAÇÃO TEÓRICA...........................................................................19</w:t>
      </w:r>
    </w:p>
    <w:p>
      <w:pPr>
        <w:spacing w:after="200"/>
      </w:pPr>
      <w:r>
        <w:rPr>
          <w:rFonts w:ascii="Arial" w:cs="Arial" w:eastAsia="Arial" w:hAnsi="Arial"/>
          <w:sz w:val="24"/>
          <w:szCs w:val="24"/>
        </w:rPr>
        <w:t xml:space="preserve">3  METODOLOGIA..............................................................................................42</w:t>
      </w:r>
    </w:p>
    <w:p>
      <w:pPr>
        <w:spacing w:after="200"/>
      </w:pPr>
      <w:r>
        <w:rPr>
          <w:rFonts w:ascii="Arial" w:cs="Arial" w:eastAsia="Arial" w:hAnsi="Arial"/>
          <w:sz w:val="24"/>
          <w:szCs w:val="24"/>
        </w:rPr>
        <w:t xml:space="preserve">   3.5.4  Agregação ponderada e geração do ICDI (com equação explícita)......79</w:t>
      </w:r>
    </w:p>
    <w:p>
      <w:pPr>
        <w:spacing w:after="200"/>
      </w:pPr>
      <w:r>
        <w:rPr>
          <w:rFonts w:ascii="Arial" w:cs="Arial" w:eastAsia="Arial" w:hAnsi="Arial"/>
          <w:sz w:val="24"/>
          <w:szCs w:val="24"/>
        </w:rPr>
        <w:t xml:space="preserve">4  ANÁLISE DOS RESULTADOS..........................................................................106</w:t>
      </w:r>
    </w:p>
    <w:p>
      <w:pPr>
        <w:spacing w:after="200"/>
      </w:pPr>
      <w:r>
        <w:rPr>
          <w:rFonts w:ascii="Arial" w:cs="Arial" w:eastAsia="Arial" w:hAnsi="Arial"/>
          <w:sz w:val="24"/>
          <w:szCs w:val="24"/>
        </w:rPr>
        <w:t xml:space="preserve">5  DISCUSSÃO DOS RESULTADOS....................................................................127</w:t>
      </w:r>
    </w:p>
    <w:p>
      <w:pPr>
        <w:spacing w:after="200"/>
      </w:pPr>
      <w:r>
        <w:rPr>
          <w:rFonts w:ascii="Arial" w:cs="Arial" w:eastAsia="Arial" w:hAnsi="Arial"/>
          <w:sz w:val="24"/>
          <w:szCs w:val="24"/>
        </w:rPr>
        <w:t xml:space="preserve">6  CONSIDERAÇÕES FINAIS..............................................................................140</w:t>
      </w:r>
    </w:p>
    <w:p>
      <w:pPr>
        <w:spacing w:after="200"/>
      </w:pPr>
      <w:r>
        <w:rPr>
          <w:rFonts w:ascii="Arial" w:cs="Arial" w:eastAsia="Arial" w:hAnsi="Arial"/>
          <w:sz w:val="24"/>
          <w:szCs w:val="24"/>
        </w:rPr>
        <w:t xml:space="preserve">REFERÊNCIAS...................................................................................................144</w:t>
      </w:r>
    </w:p>
    <w:p>
      <w:pPr>
        <w:spacing w:after="200"/>
      </w:pPr>
      <w:r>
        <w:rPr>
          <w:rFonts w:ascii="Arial" w:cs="Arial" w:eastAsia="Arial" w:hAnsi="Arial"/>
          <w:sz w:val="24"/>
          <w:szCs w:val="24"/>
        </w:rPr>
        <w:t xml:space="preserve">GLOSSÁRIO......................................................................................................148</w:t>
      </w:r>
    </w:p>
    <w:p>
      <w:pPr>
        <w:spacing w:after="200"/>
      </w:pPr>
      <w:r>
        <w:rPr>
          <w:rFonts w:ascii="Arial" w:cs="Arial" w:eastAsia="Arial" w:hAnsi="Arial"/>
          <w:sz w:val="24"/>
          <w:szCs w:val="24"/>
        </w:rPr>
        <w:t xml:space="preserve">APÊNDICE A — Tabelas e Figuras Suplementares...............................................153</w:t>
      </w:r>
    </w:p>
    <w:p>
      <w:pPr>
        <w:spacing w:after="200"/>
      </w:pPr>
      <w:r>
        <w:rPr>
          <w:rFonts w:ascii="Arial" w:cs="Arial" w:eastAsia="Arial" w:hAnsi="Arial"/>
          <w:sz w:val="24"/>
          <w:szCs w:val="24"/>
        </w:rPr>
        <w:t xml:space="preserve">APÊNDICE B — Repositório de Código e Artefatos (GitHub) [NOVO]..................165</w:t>
      </w:r>
    </w:p>
    <w:p>
      <w:pPr>
        <w:spacing w:after="200"/>
      </w:pPr>
      <w:r>
        <w:rPr>
          <w:rFonts w:ascii="Arial" w:cs="Arial" w:eastAsia="Arial" w:hAnsi="Arial"/>
          <w:sz w:val="24"/>
          <w:szCs w:val="24"/>
        </w:rPr>
        <w:t xml:space="preserve">APÊNDICE C — Fórmula e Demonstração do Cálculo do ICDI [NOVO]...............170</w:t>
      </w:r>
    </w:p>
    <w:p>
      <w:pPr>
        <w:spacing w:after="200"/>
      </w:pPr>
      <w:r>
        <w:rPr>
          <w:rFonts w:ascii="Arial" w:cs="Arial" w:eastAsia="Arial" w:hAnsi="Arial"/>
          <w:sz w:val="24"/>
          <w:szCs w:val="24"/>
        </w:rPr>
        <w:t xml:space="preserve">APÊNDICE D — Ranking Global do ICDI — 132 Jurisdições (2023) [NOVO].......180</w:t>
      </w:r>
    </w:p>
    <w:p>
      <w:pPr>
        <w:spacing w:after="200"/>
      </w:pPr>
      <w:r>
        <w:rPr>
          <w:rFonts w:ascii="Arial" w:cs="Arial" w:eastAsia="Arial" w:hAnsi="Arial"/>
          <w:sz w:val="24"/>
          <w:szCs w:val="24"/>
        </w:rPr>
        <w:t xml:space="preserve">ANEXO A — Amostra de dados FMI (2025A): extrato processado......................195</w:t>
      </w:r>
    </w:p>
    <w:p>
      <w:pPr>
        <w:spacing w:after="200"/>
      </w:pPr>
      <w:r>
        <w:rPr>
          <w:rFonts w:ascii="Arial" w:cs="Arial" w:eastAsia="Arial" w:hAnsi="Arial"/>
          <w:sz w:val="24"/>
          <w:szCs w:val="24"/>
        </w:rPr>
        <w:t xml:space="preserve">ANEXO B — Relatórios institucionais citados: extratos selecionados.................196</w:t>
      </w:r>
    </w:p>
    <w:p>
      <w:pPr>
        <w:spacing w:after="100"/>
      </w:pPr>
      <w:r>
        <w:rPr>
          <w:rFonts w:ascii="Arial" w:cs="Arial" w:eastAsia="Arial" w:hAnsi="Arial"/>
          <w:sz w:val="24"/>
          <w:szCs w:val="24"/>
        </w:rPr>
        <w:t xml:space="preserve"/>
      </w:r>
    </w:p>
    <w:p>
      <w:r>
        <w:br w:type="page"/>
      </w:r>
    </w:p>
    <w:p>
      <w:pPr>
        <w:pStyle w:val="Heading1"/>
      </w:pPr>
      <w:r>
        <w:rPr>
          <w:rFonts w:ascii="Arial" w:cs="Arial" w:eastAsia="Arial" w:hAnsi="Arial"/>
          <w:b/>
          <w:bCs/>
          <w:sz w:val="32"/>
          <w:szCs w:val="32"/>
        </w:rPr>
        <w:t xml:space="preserve">NOTA: EQUAÇÃO EXPLÍCITA DO ICDI NO CAPÍTULO 3</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Conforme subitem 3.5.4 da monografia (Agregação ponderada e geração do ICDI), a fórmula central do índice é:</w:t>
      </w:r>
    </w:p>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uble" w:color="1F4E79" w:sz="4"/>
              <w:left w:val="double" w:color="1F4E79" w:sz="4"/>
              <w:bottom w:val="double" w:color="1F4E79" w:sz="4"/>
              <w:right w:val="double" w:color="1F4E79" w:sz="4"/>
            </w:tcBorders>
            <w:shd w:fill="EBF5FB" w:val="clear"/>
            <w:tcMar>
              <w:top w:type="dxa" w:w="200"/>
              <w:left w:type="dxa" w:w="300"/>
              <w:bottom w:type="dxa" w:w="200"/>
              <w:right w:type="dxa" w:w="300"/>
            </w:tcMar>
          </w:tcPr>
          <w:p>
            <w:pPr>
              <w:jc w:val="center"/>
            </w:pPr>
            <w:r>
              <w:rPr>
                <w:rFonts w:ascii="Arial" w:cs="Arial" w:eastAsia="Arial" w:hAnsi="Arial"/>
                <w:b/>
                <w:bCs/>
                <w:color w:val="1F4E79"/>
                <w:sz w:val="24"/>
                <w:szCs w:val="24"/>
              </w:rPr>
              <w:t xml:space="preserve">Equação 6 — Fórmula de Cálculo do ICDI</w:t>
            </w:r>
          </w:p>
          <w:p>
            <w:pPr>
              <w:spacing w:after="150" w:before="150"/>
              <w:jc w:val="center"/>
            </w:pPr>
            <w:r>
              <w:rPr>
                <w:rFonts w:ascii="Courier New" w:cs="Courier New" w:eastAsia="Courier New" w:hAnsi="Courier New"/>
                <w:b/>
                <w:bCs/>
                <w:sz w:val="28"/>
                <w:szCs w:val="28"/>
              </w:rPr>
              <w:t xml:space="preserve">ICDI_i  =  100 × [ α × Maturidade_i  +  (1 − α) × Eficiência_i ]</w:t>
            </w:r>
          </w:p>
          <w:p>
            <w:pPr>
              <w:jc w:val="center"/>
            </w:pPr>
            <w:r>
              <w:rPr>
                <w:rFonts w:ascii="Arial" w:cs="Arial" w:eastAsia="Arial" w:hAnsi="Arial"/>
                <w:i/>
                <w:iCs/>
                <w:sz w:val="20"/>
                <w:szCs w:val="20"/>
              </w:rPr>
              <w:t xml:space="preserve">com  α = 0,6  (calibrado por análise de sensibilidade, variação 0,4–0,8)</w:t>
            </w:r>
          </w:p>
        </w:tc>
      </w:tr>
    </w:tbl>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onde:</w:t>
      </w:r>
    </w:p>
    <w:p>
      <w:pPr>
        <w:spacing w:after="200"/>
      </w:pPr>
      <w:r>
        <w:rPr>
          <w:rFonts w:ascii="Arial" w:cs="Arial" w:eastAsia="Arial" w:hAnsi="Arial"/>
          <w:sz w:val="24"/>
          <w:szCs w:val="24"/>
        </w:rPr>
        <w:t xml:space="preserve">  ICDI_i      = Índice Composto de Digitalização Tributária da jurisdição i, em escala [0, 100]</w:t>
      </w:r>
    </w:p>
    <w:p>
      <w:pPr>
        <w:spacing w:after="200"/>
      </w:pPr>
      <w:r>
        <w:rPr>
          <w:rFonts w:ascii="Arial" w:cs="Arial" w:eastAsia="Arial" w:hAnsi="Arial"/>
          <w:sz w:val="24"/>
          <w:szCs w:val="24"/>
        </w:rPr>
        <w:t xml:space="preserve">  α           = parâmetro de ponderação (α = 0,6; calibrado com R² = 0,98 frente ao modelo base)</w:t>
      </w:r>
    </w:p>
    <w:p>
      <w:pPr>
        <w:spacing w:after="200"/>
      </w:pPr>
      <w:r>
        <w:rPr>
          <w:rFonts w:ascii="Arial" w:cs="Arial" w:eastAsia="Arial" w:hAnsi="Arial"/>
          <w:sz w:val="24"/>
          <w:szCs w:val="24"/>
        </w:rPr>
        <w:t xml:space="preserve">  Maturidade_i = índice de maturidade digital [0,1]: combinação linear dos escores PCA ponderados pelo EWM, normalizada por min-max</w:t>
      </w:r>
    </w:p>
    <w:p>
      <w:pPr>
        <w:spacing w:after="200"/>
      </w:pPr>
      <w:r>
        <w:rPr>
          <w:rFonts w:ascii="Arial" w:cs="Arial" w:eastAsia="Arial" w:hAnsi="Arial"/>
          <w:sz w:val="24"/>
          <w:szCs w:val="24"/>
        </w:rPr>
        <w:t xml:space="preserve">  Eficiência_i = escore de eficiência técnica relativa [0,1]: resultado do modelo DEA-VRS orientado a output (BCC, 1984)</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Fonte: Elaborado pelo autor (2025), com base em Nardo et al. (2008), Charnes et al. (1978), Banker et al. (1984) e Shannon (1948).</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Nota: Para α = 0,6, uma variação de ±0,1 no parâmetro gera deslocamento médio de apenas ±2,1 posições no ranking global de 132 jurisdições, confirmando a robustez da calibração. O escore de Maturidade_i resulta da Equação 2 (normalização min-max) aplicada à combinação PCA/EWM; o escore de Eficiência_i resulta do modelo DEA-VRS descrito no subitem 3.5.3. A demonstração numérica completa para o caso do Brasil encontra-se no Apêndice C desta monografia.</w:t>
      </w:r>
    </w:p>
    <w:p>
      <w:pPr>
        <w:spacing w:after="100"/>
      </w:pPr>
      <w:r>
        <w:rPr>
          <w:rFonts w:ascii="Arial" w:cs="Arial" w:eastAsia="Arial" w:hAnsi="Arial"/>
          <w:sz w:val="24"/>
          <w:szCs w:val="24"/>
        </w:rPr>
        <w:t xml:space="preserve"/>
      </w:r>
    </w:p>
    <w:p>
      <w:r>
        <w:br w:type="page"/>
      </w:r>
    </w:p>
    <w:p>
      <w:pPr>
        <w:pStyle w:val="Heading1"/>
      </w:pPr>
      <w:r>
        <w:rPr>
          <w:rFonts w:ascii="Arial" w:cs="Arial" w:eastAsia="Arial" w:hAnsi="Arial"/>
          <w:b/>
          <w:bCs/>
          <w:sz w:val="32"/>
          <w:szCs w:val="32"/>
        </w:rPr>
        <w:t xml:space="preserve">APÊNDICE B — REPOSITÓRIO DE CÓDIGO E ARTEFATOS (GITHUB)</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Este apêndice documenta o repositório público de código e artefatos desenvolvidos para o cálculo reprodutível do Índice Composto de Digitalização Tributária (ICDI), publicado sob licença MIT no GitHub, em conformidade com os princípios de ciência aberta e reprodutibilidade estabelecidos no subitem 3.6.1 da monografia.</w:t>
      </w:r>
    </w:p>
    <w:p>
      <w:pPr>
        <w:spacing w:after="10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B.1 Repositório GitHub</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O repositório público encontra-se disponível no seguinte endereço:</w:t>
      </w:r>
    </w:p>
    <w:p>
      <w:pPr>
        <w:spacing w:after="100"/>
      </w:pPr>
      <w:r>
        <w:rPr>
          <w:rFonts w:ascii="Arial" w:cs="Arial" w:eastAsia="Arial" w:hAnsi="Arial"/>
          <w:sz w:val="24"/>
          <w:szCs w:val="24"/>
        </w:rPr>
        <w:t xml:space="preserve"/>
      </w:r>
    </w:p>
    <w:p>
      <w:pPr>
        <w:spacing w:after="200"/>
        <w:jc w:val="center"/>
      </w:pPr>
      <w:r>
        <w:rPr>
          <w:rFonts w:ascii="Courier New" w:cs="Courier New" w:eastAsia="Courier New" w:hAnsi="Courier New"/>
          <w:b/>
          <w:bCs/>
          <w:color w:val="1F4E79"/>
          <w:sz w:val="24"/>
          <w:szCs w:val="24"/>
        </w:rPr>
        <w:t xml:space="preserve">https://github.com/carlos-teixeira-icdi/icdi</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O repositório está organizado segundo a seguinte estrutura de diretórios:</w:t>
      </w:r>
    </w:p>
    <w:p>
      <w:pPr>
        <w:spacing w:after="100"/>
      </w:pPr>
      <w:r>
        <w:rPr>
          <w:rFonts w:ascii="Arial" w:cs="Arial" w:eastAsia="Arial" w:hAnsi="Arial"/>
          <w:sz w:val="24"/>
          <w:szCs w:val="24"/>
        </w:rPr>
        <w:t xml:space="preserve"/>
      </w:r>
    </w:p>
    <w:p>
      <w:pPr>
        <w:spacing w:after="100"/>
      </w:pPr>
      <w:r>
        <w:rPr>
          <w:rFonts w:ascii="Courier New" w:cs="Courier New" w:eastAsia="Courier New" w:hAnsi="Courier New"/>
          <w:sz w:val="22"/>
          <w:szCs w:val="22"/>
        </w:rPr>
        <w:t xml:space="preserve">icdi/</w:t>
      </w:r>
    </w:p>
    <w:p>
      <w:pPr>
        <w:spacing w:after="60"/>
      </w:pPr>
      <w:r>
        <w:rPr>
          <w:rFonts w:ascii="Courier New" w:cs="Courier New" w:eastAsia="Courier New" w:hAnsi="Courier New"/>
          <w:sz w:val="20"/>
          <w:szCs w:val="20"/>
        </w:rPr>
        <w:t xml:space="preserve">├── README.md                 # Documentação principal</w:t>
      </w:r>
    </w:p>
    <w:p>
      <w:pPr>
        <w:spacing w:after="60"/>
      </w:pPr>
      <w:r>
        <w:rPr>
          <w:rFonts w:ascii="Courier New" w:cs="Courier New" w:eastAsia="Courier New" w:hAnsi="Courier New"/>
          <w:sz w:val="20"/>
          <w:szCs w:val="20"/>
        </w:rPr>
        <w:t xml:space="preserve">├── icdi_calculator.py        # Script principal (pipeline completo)</w:t>
      </w:r>
    </w:p>
    <w:p>
      <w:pPr>
        <w:spacing w:after="60"/>
      </w:pPr>
      <w:r>
        <w:rPr>
          <w:rFonts w:ascii="Courier New" w:cs="Courier New" w:eastAsia="Courier New" w:hAnsi="Courier New"/>
          <w:sz w:val="20"/>
          <w:szCs w:val="20"/>
        </w:rPr>
        <w:t xml:space="preserve">├── ranking_icdi_2023.csv     # Ranking gerado com dados simulados</w:t>
      </w:r>
    </w:p>
    <w:p>
      <w:pPr>
        <w:spacing w:after="60"/>
      </w:pPr>
      <w:r>
        <w:rPr>
          <w:rFonts w:ascii="Courier New" w:cs="Courier New" w:eastAsia="Courier New" w:hAnsi="Courier New"/>
          <w:sz w:val="20"/>
          <w:szCs w:val="20"/>
        </w:rPr>
        <w:t xml:space="preserve">├── data/isora_sample.csv     # Estrutura de dados ISORA</w:t>
      </w:r>
    </w:p>
    <w:p>
      <w:pPr>
        <w:spacing w:after="60"/>
      </w:pPr>
      <w:r>
        <w:rPr>
          <w:rFonts w:ascii="Courier New" w:cs="Courier New" w:eastAsia="Courier New" w:hAnsi="Courier New"/>
          <w:sz w:val="20"/>
          <w:szCs w:val="20"/>
        </w:rPr>
        <w:t xml:space="preserve">├── notebooks/icdi_notebook.ipynb  # Jupyter Notebook interativo</w:t>
      </w:r>
    </w:p>
    <w:p>
      <w:pPr>
        <w:spacing w:after="200"/>
      </w:pPr>
      <w:r>
        <w:rPr>
          <w:rFonts w:ascii="Courier New" w:cs="Courier New" w:eastAsia="Courier New" w:hAnsi="Courier New"/>
          <w:sz w:val="20"/>
          <w:szCs w:val="20"/>
        </w:rPr>
        <w:t xml:space="preserve">└── LICENSE                  # Licença MIT</w:t>
      </w:r>
    </w:p>
    <w:p>
      <w:pPr>
        <w:spacing w:after="10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B.2 Pipeline Computacional</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O pipeline computacional implementa todas as etapas descritas no Capítulo 3, garantindo reprodutibilidade integral. As dependências são exclusivamente bibliotecas de código aberto (open source):</w:t>
      </w:r>
    </w:p>
    <w:p>
      <w:pPr>
        <w:spacing w:after="100"/>
      </w:pPr>
      <w:r>
        <w:rPr>
          <w:rFonts w:ascii="Arial" w:cs="Arial" w:eastAsia="Arial" w:hAnsi="Arial"/>
          <w:sz w:val="24"/>
          <w:szCs w:val="24"/>
        </w:rPr>
        <w:t xml:space="preserve"/>
      </w:r>
    </w:p>
    <w:p>
      <w:pPr>
        <w:spacing w:after="80"/>
      </w:pPr>
      <w:r>
        <w:rPr>
          <w:rFonts w:ascii="Courier New" w:cs="Courier New" w:eastAsia="Courier New" w:hAnsi="Courier New"/>
          <w:sz w:val="22"/>
          <w:szCs w:val="22"/>
        </w:rPr>
        <w:t xml:space="preserve">  pip install numpy pandas scikit-learn scipy</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Para execução com dados simulados (demonstração):</w:t>
      </w:r>
    </w:p>
    <w:p>
      <w:pPr>
        <w:spacing w:after="200"/>
      </w:pPr>
      <w:r>
        <w:rPr>
          <w:rFonts w:ascii="Courier New" w:cs="Courier New" w:eastAsia="Courier New" w:hAnsi="Courier New"/>
          <w:sz w:val="22"/>
          <w:szCs w:val="22"/>
        </w:rPr>
        <w:t xml:space="preserve">  python icdi_calculator.py</w:t>
      </w:r>
    </w:p>
    <w:p>
      <w:pPr>
        <w:spacing w:after="10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B.3 Funcionalidades Implementadas</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O script icdi_calculator.py implementa as seguintes funcionalidades, alinhadas ao protocolo metodológico do Capítulo 3:</w:t>
      </w:r>
    </w:p>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Função</w:t>
            </w:r>
          </w:p>
        </w:tc>
        <w:tc>
          <w:tcPr>
            <w:tcW w:type="dxa" w:w="35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Equação</w:t>
            </w:r>
          </w:p>
        </w:tc>
        <w:tc>
          <w:tcPr>
            <w:tcW w:type="dxa" w:w="3526"/>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Capítulo</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impute_regional_weighted()</w:t>
            </w:r>
          </w:p>
        </w:tc>
        <w:tc>
          <w:tcPr>
            <w:tcW w:type="dxa" w:w="35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Equação 1 — Imputação ponderada pelo PIB</w:t>
            </w:r>
          </w:p>
        </w:tc>
        <w:tc>
          <w:tcPr>
            <w:tcW w:type="dxa" w:w="3526"/>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3.3.1</w:t>
            </w:r>
          </w:p>
        </w:tc>
      </w:tr>
      <w:tr>
        <w:tc>
          <w:tcPr>
            <w:tcW w:type="dxa" w:w="2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normalize_minmax()</w:t>
            </w:r>
          </w:p>
        </w:tc>
        <w:tc>
          <w:tcPr>
            <w:tcW w:type="dxa" w:w="35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Equação 2 — Normalização min–max [0,1]</w:t>
            </w:r>
          </w:p>
        </w:tc>
        <w:tc>
          <w:tcPr>
            <w:tcW w:type="dxa" w:w="3526"/>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3.3.1</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smooth_temporal()</w:t>
            </w:r>
          </w:p>
        </w:tc>
        <w:tc>
          <w:tcPr>
            <w:tcW w:type="dxa" w:w="35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Equação 3 — Média móvel trienal</w:t>
            </w:r>
          </w:p>
        </w:tc>
        <w:tc>
          <w:tcPr>
            <w:tcW w:type="dxa" w:w="3526"/>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3.3.1</w:t>
            </w:r>
          </w:p>
        </w:tc>
      </w:tr>
      <w:tr>
        <w:tc>
          <w:tcPr>
            <w:tcW w:type="dxa" w:w="2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apply_pca()</w:t>
            </w:r>
          </w:p>
        </w:tc>
        <w:tc>
          <w:tcPr>
            <w:tcW w:type="dxa" w:w="35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PCA Varimax — CP1 (44,2%) e CP2 (35,9%)</w:t>
            </w:r>
          </w:p>
        </w:tc>
        <w:tc>
          <w:tcPr>
            <w:tcW w:type="dxa" w:w="3526"/>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3.5.1</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calculate_entropy_weights()</w:t>
            </w:r>
          </w:p>
        </w:tc>
        <w:tc>
          <w:tcPr>
            <w:tcW w:type="dxa" w:w="35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Equações 4 e 5 — EWM (Shannon)</w:t>
            </w:r>
          </w:p>
        </w:tc>
        <w:tc>
          <w:tcPr>
            <w:tcW w:type="dxa" w:w="3526"/>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3.5.2</w:t>
            </w:r>
          </w:p>
        </w:tc>
      </w:tr>
      <w:tr>
        <w:tc>
          <w:tcPr>
            <w:tcW w:type="dxa" w:w="2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calculate_dea_vrs()</w:t>
            </w:r>
          </w:p>
        </w:tc>
        <w:tc>
          <w:tcPr>
            <w:tcW w:type="dxa" w:w="35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DEA-VRS orientada a output</w:t>
            </w:r>
          </w:p>
        </w:tc>
        <w:tc>
          <w:tcPr>
            <w:tcW w:type="dxa" w:w="3526"/>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3.5.3</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calculate_icdi()</w:t>
            </w:r>
          </w:p>
        </w:tc>
        <w:tc>
          <w:tcPr>
            <w:tcW w:type="dxa" w:w="35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Equação Final — ICDI = 100×[α·M + (1−α)·E]</w:t>
            </w:r>
          </w:p>
        </w:tc>
        <w:tc>
          <w:tcPr>
            <w:tcW w:type="dxa" w:w="3526"/>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3.5.4</w:t>
            </w:r>
          </w:p>
        </w:tc>
      </w:tr>
    </w:tbl>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Fonte: Elaborado pelo autor (2025). Pipeline implementado em Python com seed=42 para reprodutibilidade.</w:t>
      </w:r>
    </w:p>
    <w:p>
      <w:pPr>
        <w:spacing w:after="10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B.4 Conformidade com a LGPD e Ética de Dados</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A base de dados utilizada provém exclusivamente do ISORA (FMI), disponibilizada publicamente em data.imf.org. Os dados são agregados e anonimizados pelo próprio FMI, sem qualquer informação individualizada de contribuintes ou servidores. O repositório GitHub não contém microdados sensíveis, assegurando conformidade integral com a Lei Geral de Proteção de Dados Pessoais (LGPD — Lei nº 13.709/2018).</w:t>
      </w:r>
    </w:p>
    <w:p>
      <w:pPr>
        <w:spacing w:after="100"/>
      </w:pPr>
      <w:r>
        <w:rPr>
          <w:rFonts w:ascii="Arial" w:cs="Arial" w:eastAsia="Arial" w:hAnsi="Arial"/>
          <w:sz w:val="24"/>
          <w:szCs w:val="24"/>
        </w:rPr>
        <w:t xml:space="preserve"/>
      </w:r>
    </w:p>
    <w:p>
      <w:r>
        <w:br w:type="page"/>
      </w:r>
    </w:p>
    <w:p>
      <w:pPr>
        <w:pStyle w:val="Heading1"/>
      </w:pPr>
      <w:r>
        <w:rPr>
          <w:rFonts w:ascii="Arial" w:cs="Arial" w:eastAsia="Arial" w:hAnsi="Arial"/>
          <w:b/>
          <w:bCs/>
          <w:sz w:val="32"/>
          <w:szCs w:val="32"/>
        </w:rPr>
        <w:t xml:space="preserve">APÊNDICE C — FÓRMULA E DEMONSTRAÇÃO DO CÁLCULO DO ICDI</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Este apêndice apresenta, de forma consolidada e didática, todas as equações que compõem o cálculo do Índice Composto de Digitalização Tributária (ICDI), seguidas de uma demonstração passo a passo aplicada ao caso do Brasil (ICDI = 84,91 pontos, 18ª posição global).</w:t>
      </w:r>
    </w:p>
    <w:p>
      <w:pPr>
        <w:spacing w:after="10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C.1 Sistema de Equações do Modelo ICDI</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O ICDI resulta de um pipeline de cinco equações sequenciais, conforme descritas nos Capítulos 3 e 4:</w:t>
      </w:r>
    </w:p>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66666" w:sz="1"/>
              <w:left w:val="single" w:color="666666" w:sz="1"/>
              <w:bottom w:val="single" w:color="666666" w:sz="1"/>
              <w:right w:val="single" w:color="666666" w:sz="1"/>
            </w:tcBorders>
            <w:shd w:fill="EBF5FB" w:val="clear"/>
            <w:tcMar>
              <w:top w:type="dxa" w:w="150"/>
              <w:left w:type="dxa" w:w="200"/>
              <w:bottom w:type="dxa" w:w="150"/>
              <w:right w:type="dxa" w:w="200"/>
            </w:tcMar>
          </w:tcPr>
          <w:p>
            <w:pPr>
              <w:jc w:val="center"/>
            </w:pPr>
            <w:r>
              <w:rPr>
                <w:rFonts w:ascii="Arial" w:cs="Arial" w:eastAsia="Arial" w:hAnsi="Arial"/>
                <w:b/>
                <w:bCs/>
                <w:color w:val="1F4E79"/>
                <w:sz w:val="20"/>
                <w:szCs w:val="20"/>
              </w:rPr>
              <w:t xml:space="preserve">Equação 1 — Imputação de Valores Ausentes (Média Regional Ponderada pelo PIB)</w:t>
            </w:r>
          </w:p>
          <w:p>
            <w:pPr>
              <w:spacing w:after="100" w:before="100"/>
              <w:jc w:val="center"/>
            </w:pPr>
            <w:r>
              <w:rPr>
                <w:rFonts w:ascii="Courier New" w:cs="Courier New" w:eastAsia="Courier New" w:hAnsi="Courier New"/>
                <w:b/>
                <w:bCs/>
                <w:sz w:val="22"/>
                <w:szCs w:val="22"/>
              </w:rPr>
              <w:t xml:space="preserve">x̂_ij = Σ(k∈Ri) x_kj · GDP_k  /  Σ(k∈Ri) GDP_k</w:t>
            </w:r>
          </w:p>
          <w:p>
            <w:pPr>
              <w:jc w:val="center"/>
            </w:pPr>
            <w:r>
              <w:rPr>
                <w:rFonts w:ascii="Arial" w:cs="Arial" w:eastAsia="Arial" w:hAnsi="Arial"/>
                <w:i/>
                <w:iCs/>
                <w:color w:val="555555"/>
                <w:sz w:val="20"/>
                <w:szCs w:val="20"/>
              </w:rPr>
              <w:t xml:space="preserve">onde: x̂_ij = valor imputado para jurisdição i, indicador j  |  GDP_k = PIB da jurisdição k  |  Ri = conjunto de jurisdições da região i</w:t>
            </w:r>
          </w:p>
        </w:tc>
      </w:tr>
    </w:tbl>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66666" w:sz="1"/>
              <w:left w:val="single" w:color="666666" w:sz="1"/>
              <w:bottom w:val="single" w:color="666666" w:sz="1"/>
              <w:right w:val="single" w:color="666666" w:sz="1"/>
            </w:tcBorders>
            <w:shd w:fill="EBF5FB" w:val="clear"/>
            <w:tcMar>
              <w:top w:type="dxa" w:w="150"/>
              <w:left w:type="dxa" w:w="200"/>
              <w:bottom w:type="dxa" w:w="150"/>
              <w:right w:type="dxa" w:w="200"/>
            </w:tcMar>
          </w:tcPr>
          <w:p>
            <w:pPr>
              <w:jc w:val="center"/>
            </w:pPr>
            <w:r>
              <w:rPr>
                <w:rFonts w:ascii="Arial" w:cs="Arial" w:eastAsia="Arial" w:hAnsi="Arial"/>
                <w:b/>
                <w:bCs/>
                <w:color w:val="1F4E79"/>
                <w:sz w:val="20"/>
                <w:szCs w:val="20"/>
              </w:rPr>
              <w:t xml:space="preserve">Equação 2 — Normalização Min-Max</w:t>
            </w:r>
          </w:p>
          <w:p>
            <w:pPr>
              <w:spacing w:after="100" w:before="100"/>
              <w:jc w:val="center"/>
            </w:pPr>
            <w:r>
              <w:rPr>
                <w:rFonts w:ascii="Courier New" w:cs="Courier New" w:eastAsia="Courier New" w:hAnsi="Courier New"/>
                <w:b/>
                <w:bCs/>
                <w:sz w:val="22"/>
                <w:szCs w:val="22"/>
              </w:rPr>
              <w:t xml:space="preserve">x'_ij = (x_ij − min_j) / (max_j − min_j)</w:t>
            </w:r>
          </w:p>
          <w:p>
            <w:pPr>
              <w:jc w:val="center"/>
            </w:pPr>
            <w:r>
              <w:rPr>
                <w:rFonts w:ascii="Arial" w:cs="Arial" w:eastAsia="Arial" w:hAnsi="Arial"/>
                <w:i/>
                <w:iCs/>
                <w:color w:val="555555"/>
                <w:sz w:val="20"/>
                <w:szCs w:val="20"/>
              </w:rPr>
              <w:t xml:space="preserve">onde: x_ij = valor original  |  x'_ij = valor normalizado [0,1]  |  min_j, max_j = mínimo e máximo da variável j na amostra</w:t>
            </w:r>
          </w:p>
        </w:tc>
      </w:tr>
    </w:tbl>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66666" w:sz="1"/>
              <w:left w:val="single" w:color="666666" w:sz="1"/>
              <w:bottom w:val="single" w:color="666666" w:sz="1"/>
              <w:right w:val="single" w:color="666666" w:sz="1"/>
            </w:tcBorders>
            <w:shd w:fill="EBF5FB" w:val="clear"/>
            <w:tcMar>
              <w:top w:type="dxa" w:w="150"/>
              <w:left w:type="dxa" w:w="200"/>
              <w:bottom w:type="dxa" w:w="150"/>
              <w:right w:type="dxa" w:w="200"/>
            </w:tcMar>
          </w:tcPr>
          <w:p>
            <w:pPr>
              <w:jc w:val="center"/>
            </w:pPr>
            <w:r>
              <w:rPr>
                <w:rFonts w:ascii="Arial" w:cs="Arial" w:eastAsia="Arial" w:hAnsi="Arial"/>
                <w:b/>
                <w:bCs/>
                <w:color w:val="1F4E79"/>
                <w:sz w:val="20"/>
                <w:szCs w:val="20"/>
              </w:rPr>
              <w:t xml:space="preserve">Equação 3 — Suavização Temporal (Média Móvel Trienal)</w:t>
            </w:r>
          </w:p>
          <w:p>
            <w:pPr>
              <w:spacing w:after="100" w:before="100"/>
              <w:jc w:val="center"/>
            </w:pPr>
            <w:r>
              <w:rPr>
                <w:rFonts w:ascii="Courier New" w:cs="Courier New" w:eastAsia="Courier New" w:hAnsi="Courier New"/>
                <w:b/>
                <w:bCs/>
                <w:sz w:val="22"/>
                <w:szCs w:val="22"/>
              </w:rPr>
              <w:t xml:space="preserve">x̄_it = (x_i,t−1 + x_it + x_i,t+1) / 3</w:t>
            </w:r>
          </w:p>
          <w:p>
            <w:pPr>
              <w:jc w:val="center"/>
            </w:pPr>
            <w:r>
              <w:rPr>
                <w:rFonts w:ascii="Arial" w:cs="Arial" w:eastAsia="Arial" w:hAnsi="Arial"/>
                <w:i/>
                <w:iCs/>
                <w:color w:val="555555"/>
                <w:sz w:val="20"/>
                <w:szCs w:val="20"/>
              </w:rPr>
              <w:t xml:space="preserve">onde: x̄_it = valor suavizado da jurisdição i no ano t  |  aplicada para reduzir volatilidades anuais</w:t>
            </w:r>
          </w:p>
        </w:tc>
      </w:tr>
    </w:tbl>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66666" w:sz="1"/>
              <w:left w:val="single" w:color="666666" w:sz="1"/>
              <w:bottom w:val="single" w:color="666666" w:sz="1"/>
              <w:right w:val="single" w:color="666666" w:sz="1"/>
            </w:tcBorders>
            <w:shd w:fill="EBF5FB" w:val="clear"/>
            <w:tcMar>
              <w:top w:type="dxa" w:w="150"/>
              <w:left w:type="dxa" w:w="200"/>
              <w:bottom w:type="dxa" w:w="150"/>
              <w:right w:type="dxa" w:w="200"/>
            </w:tcMar>
          </w:tcPr>
          <w:p>
            <w:pPr>
              <w:jc w:val="center"/>
            </w:pPr>
            <w:r>
              <w:rPr>
                <w:rFonts w:ascii="Arial" w:cs="Arial" w:eastAsia="Arial" w:hAnsi="Arial"/>
                <w:b/>
                <w:bCs/>
                <w:color w:val="1F4E79"/>
                <w:sz w:val="20"/>
                <w:szCs w:val="20"/>
              </w:rPr>
              <w:t xml:space="preserve">Equação 4 — Entropia de Shannon (EWM)</w:t>
            </w:r>
          </w:p>
          <w:p>
            <w:pPr>
              <w:spacing w:after="100" w:before="100"/>
              <w:jc w:val="center"/>
            </w:pPr>
            <w:r>
              <w:rPr>
                <w:rFonts w:ascii="Courier New" w:cs="Courier New" w:eastAsia="Courier New" w:hAnsi="Courier New"/>
                <w:b/>
                <w:bCs/>
                <w:sz w:val="22"/>
                <w:szCs w:val="22"/>
              </w:rPr>
              <w:t xml:space="preserve">H_j = −k · Σ(i=1 to m) p_ij · ln(p_ij)</w:t>
            </w:r>
          </w:p>
          <w:p>
            <w:pPr>
              <w:jc w:val="center"/>
            </w:pPr>
            <w:r>
              <w:rPr>
                <w:rFonts w:ascii="Arial" w:cs="Arial" w:eastAsia="Arial" w:hAnsi="Arial"/>
                <w:i/>
                <w:iCs/>
                <w:color w:val="555555"/>
                <w:sz w:val="20"/>
                <w:szCs w:val="20"/>
              </w:rPr>
              <w:t xml:space="preserve">onde: H_j = entropia da variável j  |  k = 1/ln(m)  |  p_ij = proporção normalizada  |  m = número de jurisdições</w:t>
            </w:r>
          </w:p>
        </w:tc>
      </w:tr>
    </w:tbl>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66666" w:sz="1"/>
              <w:left w:val="single" w:color="666666" w:sz="1"/>
              <w:bottom w:val="single" w:color="666666" w:sz="1"/>
              <w:right w:val="single" w:color="666666" w:sz="1"/>
            </w:tcBorders>
            <w:shd w:fill="EBF5FB" w:val="clear"/>
            <w:tcMar>
              <w:top w:type="dxa" w:w="150"/>
              <w:left w:type="dxa" w:w="200"/>
              <w:bottom w:type="dxa" w:w="150"/>
              <w:right w:type="dxa" w:w="200"/>
            </w:tcMar>
          </w:tcPr>
          <w:p>
            <w:pPr>
              <w:jc w:val="center"/>
            </w:pPr>
            <w:r>
              <w:rPr>
                <w:rFonts w:ascii="Arial" w:cs="Arial" w:eastAsia="Arial" w:hAnsi="Arial"/>
                <w:b/>
                <w:bCs/>
                <w:color w:val="1F4E79"/>
                <w:sz w:val="20"/>
                <w:szCs w:val="20"/>
              </w:rPr>
              <w:t xml:space="preserve">Equação 5 — Derivação dos Pesos (EWM)</w:t>
            </w:r>
          </w:p>
          <w:p>
            <w:pPr>
              <w:spacing w:after="100" w:before="100"/>
              <w:jc w:val="center"/>
            </w:pPr>
            <w:r>
              <w:rPr>
                <w:rFonts w:ascii="Courier New" w:cs="Courier New" w:eastAsia="Courier New" w:hAnsi="Courier New"/>
                <w:b/>
                <w:bCs/>
                <w:sz w:val="22"/>
                <w:szCs w:val="22"/>
              </w:rPr>
              <w:t xml:space="preserve">w_j = (1 − H_j) / Σ_j (1 − H_j)</w:t>
            </w:r>
          </w:p>
          <w:p>
            <w:pPr>
              <w:jc w:val="center"/>
            </w:pPr>
            <w:r>
              <w:rPr>
                <w:rFonts w:ascii="Arial" w:cs="Arial" w:eastAsia="Arial" w:hAnsi="Arial"/>
                <w:i/>
                <w:iCs/>
                <w:color w:val="555555"/>
                <w:sz w:val="20"/>
                <w:szCs w:val="20"/>
              </w:rPr>
              <w:t xml:space="preserve">onde: w_j = peso da variável j  |  Σ w_j = 1  |  componentes com maior dispersão recebem maior peso</w:t>
            </w:r>
          </w:p>
        </w:tc>
      </w:tr>
    </w:tbl>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uble" w:color="1F4E79" w:sz="4"/>
              <w:left w:val="double" w:color="1F4E79" w:sz="4"/>
              <w:bottom w:val="double" w:color="1F4E79" w:sz="4"/>
              <w:right w:val="double" w:color="1F4E79" w:sz="4"/>
            </w:tcBorders>
            <w:shd w:fill="1F4E79"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EQUAÇÃO FINAL — FÓRMULA DO ICDI</w:t>
            </w:r>
          </w:p>
          <w:p>
            <w:pPr>
              <w:spacing w:after="150" w:before="150"/>
              <w:jc w:val="center"/>
            </w:pPr>
            <w:r>
              <w:rPr>
                <w:rFonts w:ascii="Courier New" w:cs="Courier New" w:eastAsia="Courier New" w:hAnsi="Courier New"/>
                <w:b/>
                <w:bCs/>
                <w:color w:val="FFD700"/>
                <w:sz w:val="28"/>
                <w:szCs w:val="28"/>
              </w:rPr>
              <w:t xml:space="preserve">ICDI_i  =  100 × [ α × Maturidade_i  +  (1 − α) × Eficiência_i ]</w:t>
            </w:r>
          </w:p>
          <w:p>
            <w:pPr>
              <w:jc w:val="center"/>
            </w:pPr>
            <w:r>
              <w:rPr>
                <w:rFonts w:ascii="Arial" w:cs="Arial" w:eastAsia="Arial" w:hAnsi="Arial"/>
                <w:i/>
                <w:iCs/>
                <w:color w:val="FFFFFF"/>
                <w:sz w:val="20"/>
                <w:szCs w:val="20"/>
              </w:rPr>
              <w:t xml:space="preserve">com  α = 0,6  (parâmetro calibrado por análise de sensibilidade)</w:t>
            </w:r>
          </w:p>
        </w:tc>
      </w:tr>
    </w:tbl>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onde:</w:t>
      </w:r>
    </w:p>
    <w:p>
      <w:pPr>
        <w:spacing w:after="200"/>
      </w:pPr>
      <w:r>
        <w:rPr>
          <w:rFonts w:ascii="Arial" w:cs="Arial" w:eastAsia="Arial" w:hAnsi="Arial"/>
          <w:sz w:val="24"/>
          <w:szCs w:val="24"/>
        </w:rPr>
        <w:t xml:space="preserve">  ICDI_i    </w:t>
      </w:r>
      <w:r>
        <w:rPr>
          <w:rFonts w:ascii="Arial" w:cs="Arial" w:eastAsia="Arial" w:hAnsi="Arial"/>
          <w:sz w:val="24"/>
          <w:szCs w:val="24"/>
        </w:rPr>
        <w:t xml:space="preserve">= Índice Composto de Digitalização Tributária da jurisdição i, em escala [0, 100]</w:t>
      </w:r>
    </w:p>
    <w:p>
      <w:pPr>
        <w:spacing w:after="200"/>
      </w:pPr>
      <w:r>
        <w:rPr>
          <w:rFonts w:ascii="Arial" w:cs="Arial" w:eastAsia="Arial" w:hAnsi="Arial"/>
          <w:sz w:val="24"/>
          <w:szCs w:val="24"/>
        </w:rPr>
        <w:t xml:space="preserve">  α         </w:t>
      </w:r>
      <w:r>
        <w:rPr>
          <w:rFonts w:ascii="Arial" w:cs="Arial" w:eastAsia="Arial" w:hAnsi="Arial"/>
          <w:sz w:val="24"/>
          <w:szCs w:val="24"/>
        </w:rPr>
        <w:t xml:space="preserve">= parâmetro de ponderação entre maturidade digital e eficiência relativa (α = 0,6)</w:t>
      </w:r>
    </w:p>
    <w:p>
      <w:pPr>
        <w:spacing w:after="200"/>
      </w:pPr>
      <w:r>
        <w:rPr>
          <w:rFonts w:ascii="Arial" w:cs="Arial" w:eastAsia="Arial" w:hAnsi="Arial"/>
          <w:sz w:val="24"/>
          <w:szCs w:val="24"/>
        </w:rPr>
        <w:t xml:space="preserve">  Maturidade_i  </w:t>
      </w:r>
      <w:r>
        <w:rPr>
          <w:rFonts w:ascii="Arial" w:cs="Arial" w:eastAsia="Arial" w:hAnsi="Arial"/>
          <w:sz w:val="24"/>
          <w:szCs w:val="24"/>
        </w:rPr>
        <w:t xml:space="preserve">= índice de maturidade digital [0,1], derivado da combinação linear ponderada dos componentes PCA pelos pesos EWM</w:t>
      </w:r>
    </w:p>
    <w:p>
      <w:pPr>
        <w:spacing w:after="200"/>
      </w:pPr>
      <w:r>
        <w:rPr>
          <w:rFonts w:ascii="Arial" w:cs="Arial" w:eastAsia="Arial" w:hAnsi="Arial"/>
          <w:sz w:val="24"/>
          <w:szCs w:val="24"/>
        </w:rPr>
        <w:t xml:space="preserve">  Eficiência_i  </w:t>
      </w:r>
      <w:r>
        <w:rPr>
          <w:rFonts w:ascii="Arial" w:cs="Arial" w:eastAsia="Arial" w:hAnsi="Arial"/>
          <w:sz w:val="24"/>
          <w:szCs w:val="24"/>
        </w:rPr>
        <w:t xml:space="preserve">= escore de eficiência técnica relativa [0,1], derivado do modelo DEA-VRS orientado a output</w:t>
      </w:r>
    </w:p>
    <w:p>
      <w:pPr>
        <w:spacing w:after="10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C.2 Decomposição Completa da Fórmula</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A fórmula do ICDI expande-se em função das etapas anteriores do pipeline:</w:t>
      </w:r>
    </w:p>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66666" w:sz="1"/>
              <w:left w:val="single" w:color="666666" w:sz="1"/>
              <w:bottom w:val="single" w:color="666666" w:sz="1"/>
              <w:right w:val="single" w:color="666666" w:sz="1"/>
            </w:tcBorders>
            <w:shd w:fill="EBF5FB" w:val="clear"/>
            <w:tcMar>
              <w:top w:type="dxa" w:w="150"/>
              <w:left w:type="dxa" w:w="200"/>
              <w:bottom w:type="dxa" w:w="150"/>
              <w:right w:type="dxa" w:w="200"/>
            </w:tcMar>
          </w:tcPr>
          <w:p>
            <w:pPr>
              <w:jc w:val="center"/>
            </w:pPr>
            <w:r>
              <w:rPr>
                <w:rFonts w:ascii="Arial" w:cs="Arial" w:eastAsia="Arial" w:hAnsi="Arial"/>
                <w:b/>
                <w:bCs/>
                <w:color w:val="1F4E79"/>
                <w:sz w:val="20"/>
                <w:szCs w:val="20"/>
              </w:rPr>
              <w:t xml:space="preserve">Expansão do Índice de Maturidade Digital</w:t>
            </w:r>
          </w:p>
          <w:p>
            <w:pPr>
              <w:spacing w:after="100" w:before="100"/>
              <w:jc w:val="center"/>
            </w:pPr>
            <w:r>
              <w:rPr>
                <w:rFonts w:ascii="Courier New" w:cs="Courier New" w:eastAsia="Courier New" w:hAnsi="Courier New"/>
                <w:b/>
                <w:bCs/>
                <w:sz w:val="22"/>
                <w:szCs w:val="22"/>
              </w:rPr>
              <w:t xml:space="preserve">Maturidade_i = MinMax[ Σ_j w_j · CP_ij ]</w:t>
            </w:r>
          </w:p>
          <w:p>
            <w:pPr>
              <w:jc w:val="center"/>
            </w:pPr>
            <w:r>
              <w:rPr>
                <w:rFonts w:ascii="Arial" w:cs="Arial" w:eastAsia="Arial" w:hAnsi="Arial"/>
                <w:i/>
                <w:iCs/>
                <w:color w:val="555555"/>
                <w:sz w:val="20"/>
                <w:szCs w:val="20"/>
              </w:rPr>
              <w:t xml:space="preserve">onde: w_j = pesos EWM (Equações 4 e 5)  |  CP_ij = escores dos componentes PCA da jurisdição i  |  MinMax = normalização para [0,1]</w:t>
            </w:r>
          </w:p>
        </w:tc>
      </w:tr>
    </w:tbl>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66666" w:sz="1"/>
              <w:left w:val="single" w:color="666666" w:sz="1"/>
              <w:bottom w:val="single" w:color="666666" w:sz="1"/>
              <w:right w:val="single" w:color="666666" w:sz="1"/>
            </w:tcBorders>
            <w:shd w:fill="EBF5FB" w:val="clear"/>
            <w:tcMar>
              <w:top w:type="dxa" w:w="150"/>
              <w:left w:type="dxa" w:w="200"/>
              <w:bottom w:type="dxa" w:w="150"/>
              <w:right w:type="dxa" w:w="200"/>
            </w:tcMar>
          </w:tcPr>
          <w:p>
            <w:pPr>
              <w:jc w:val="center"/>
            </w:pPr>
            <w:r>
              <w:rPr>
                <w:rFonts w:ascii="Arial" w:cs="Arial" w:eastAsia="Arial" w:hAnsi="Arial"/>
                <w:b/>
                <w:bCs/>
                <w:color w:val="1F4E79"/>
                <w:sz w:val="20"/>
                <w:szCs w:val="20"/>
              </w:rPr>
              <w:t xml:space="preserve">Expansão do Escore de Eficiência (DEA-VRS)</w:t>
            </w:r>
          </w:p>
          <w:p>
            <w:pPr>
              <w:spacing w:after="100" w:before="100"/>
              <w:jc w:val="center"/>
            </w:pPr>
            <w:r>
              <w:rPr>
                <w:rFonts w:ascii="Courier New" w:cs="Courier New" w:eastAsia="Courier New" w:hAnsi="Courier New"/>
                <w:b/>
                <w:bCs/>
                <w:sz w:val="22"/>
                <w:szCs w:val="22"/>
              </w:rPr>
              <w:t xml:space="preserve">max θ_i  s.t.:  Σ_j λ_j·x_kj ≤ x_ki ; Σ_j λ_j·y_rj ≥ θ_i·y_ri ; Σ_j λ_j = 1 ; λ_j ≥ 0</w:t>
            </w:r>
          </w:p>
          <w:p>
            <w:pPr>
              <w:jc w:val="center"/>
            </w:pPr>
            <w:r>
              <w:rPr>
                <w:rFonts w:ascii="Arial" w:cs="Arial" w:eastAsia="Arial" w:hAnsi="Arial"/>
                <w:i/>
                <w:iCs/>
                <w:color w:val="555555"/>
                <w:sz w:val="20"/>
                <w:szCs w:val="20"/>
              </w:rPr>
              <w:t xml:space="preserve">DEA-VRS orientada a output (BCC, 1984)  |  θ_i = escore de eficiência [0,1]  |  VRS: Σλ=1 garante retornos variáveis à escala</w:t>
            </w:r>
          </w:p>
        </w:tc>
      </w:tr>
    </w:tbl>
    <w:p>
      <w:pPr>
        <w:spacing w:after="100"/>
      </w:pPr>
      <w:r>
        <w:rPr>
          <w:rFonts w:ascii="Arial" w:cs="Arial" w:eastAsia="Arial" w:hAnsi="Arial"/>
          <w:sz w:val="24"/>
          <w:szCs w:val="24"/>
        </w:rPr>
        <w:t xml:space="preserve"/>
      </w:r>
    </w:p>
    <w:p>
      <w:pPr>
        <w:pStyle w:val="Heading2"/>
      </w:pPr>
      <w:r>
        <w:rPr>
          <w:rFonts w:ascii="Arial" w:cs="Arial" w:eastAsia="Arial" w:hAnsi="Arial"/>
          <w:b/>
          <w:bCs/>
          <w:sz w:val="28"/>
          <w:szCs w:val="28"/>
        </w:rPr>
        <w:t xml:space="preserve">C.3 Demonstração Numérica — Caso do Brasil (2023)</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A seguir demonstra-se, passo a passo, o cálculo do ICDI para o Brasil com base nos dados do ISORA 2023:</w:t>
      </w:r>
    </w:p>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600"/>
        <w:gridCol w:w="1600"/>
        <w:gridCol w:w="1600"/>
        <w:gridCol w:w="1926"/>
      </w:tblGrid>
      <w:tr>
        <w:tc>
          <w:tcPr>
            <w:tcW w:type="dxa" w:w="23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Variável (Input)</w:t>
            </w:r>
          </w:p>
        </w:tc>
        <w:tc>
          <w:tcPr>
            <w:tcW w:type="dxa" w:w="16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 Bruto</w:t>
            </w:r>
          </w:p>
        </w:tc>
        <w:tc>
          <w:tcPr>
            <w:tcW w:type="dxa" w:w="16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Normalizado [0,1]</w:t>
            </w:r>
          </w:p>
        </w:tc>
        <w:tc>
          <w:tcPr>
            <w:tcW w:type="dxa" w:w="16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Peso EWM (w_j)</w:t>
            </w:r>
          </w:p>
        </w:tc>
        <w:tc>
          <w:tcPr>
            <w:tcW w:type="dxa" w:w="1926"/>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Contribuição</w:t>
            </w:r>
          </w:p>
        </w:tc>
      </w:tr>
      <w:tr>
        <w:tc>
          <w:tcPr>
            <w:tcW w:type="dxa" w:w="23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e-invoicing (%)</w:t>
            </w:r>
          </w:p>
        </w:tc>
        <w:tc>
          <w:tcPr>
            <w:tcW w:type="dxa" w:w="16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98%</w:t>
            </w:r>
          </w:p>
        </w:tc>
        <w:tc>
          <w:tcPr>
            <w:tcW w:type="dxa" w:w="16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0,98</w:t>
            </w:r>
          </w:p>
        </w:tc>
        <w:tc>
          <w:tcPr>
            <w:tcW w:type="dxa" w:w="16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0,34</w:t>
            </w:r>
          </w:p>
        </w:tc>
        <w:tc>
          <w:tcPr>
            <w:tcW w:type="dxa" w:w="1926"/>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0,98 × 0,34 = 0,333</w:t>
            </w:r>
          </w:p>
        </w:tc>
      </w:tr>
      <w:tr>
        <w:tc>
          <w:tcPr>
            <w:tcW w:type="dxa" w:w="23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e-filing (%)</w:t>
            </w:r>
          </w:p>
        </w:tc>
        <w:tc>
          <w:tcPr>
            <w:tcW w:type="dxa" w:w="16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97%</w:t>
            </w:r>
          </w:p>
        </w:tc>
        <w:tc>
          <w:tcPr>
            <w:tcW w:type="dxa" w:w="16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0,97</w:t>
            </w:r>
          </w:p>
        </w:tc>
        <w:tc>
          <w:tcPr>
            <w:tcW w:type="dxa" w:w="16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0,16</w:t>
            </w:r>
          </w:p>
        </w:tc>
        <w:tc>
          <w:tcPr>
            <w:tcW w:type="dxa" w:w="1926"/>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0,97 × 0,16 = 0,155</w:t>
            </w:r>
          </w:p>
        </w:tc>
      </w:tr>
      <w:tr>
        <w:tc>
          <w:tcPr>
            <w:tcW w:type="dxa" w:w="23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Predictive Analytics (0/1)</w:t>
            </w:r>
          </w:p>
        </w:tc>
        <w:tc>
          <w:tcPr>
            <w:tcW w:type="dxa" w:w="16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 (sim)</w:t>
            </w:r>
          </w:p>
        </w:tc>
        <w:tc>
          <w:tcPr>
            <w:tcW w:type="dxa" w:w="16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0,80</w:t>
            </w:r>
          </w:p>
        </w:tc>
        <w:tc>
          <w:tcPr>
            <w:tcW w:type="dxa" w:w="16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0,28</w:t>
            </w:r>
          </w:p>
        </w:tc>
        <w:tc>
          <w:tcPr>
            <w:tcW w:type="dxa" w:w="1926"/>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0,80 × 0,28 = 0,224</w:t>
            </w:r>
          </w:p>
        </w:tc>
      </w:tr>
      <w:tr>
        <w:tc>
          <w:tcPr>
            <w:tcW w:type="dxa" w:w="23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ITMS-proxy [0–1]</w:t>
            </w:r>
          </w:p>
        </w:tc>
        <w:tc>
          <w:tcPr>
            <w:tcW w:type="dxa" w:w="16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0,80</w:t>
            </w:r>
          </w:p>
        </w:tc>
        <w:tc>
          <w:tcPr>
            <w:tcW w:type="dxa" w:w="16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0,80</w:t>
            </w:r>
          </w:p>
        </w:tc>
        <w:tc>
          <w:tcPr>
            <w:tcW w:type="dxa" w:w="16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0,22</w:t>
            </w:r>
          </w:p>
        </w:tc>
        <w:tc>
          <w:tcPr>
            <w:tcW w:type="dxa" w:w="1926"/>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0,80 × 0,22 = 0,176</w:t>
            </w:r>
          </w:p>
        </w:tc>
      </w:tr>
      <w:tr>
        <w:tc>
          <w:tcPr>
            <w:tcW w:type="dxa" w:w="23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Maturidade Digital (soma ponderada → MinMax)</w:t>
            </w:r>
          </w:p>
        </w:tc>
        <w:tc>
          <w:tcPr>
            <w:tcW w:type="dxa" w:w="16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16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16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Σ = 1,00</w:t>
            </w:r>
          </w:p>
        </w:tc>
        <w:tc>
          <w:tcPr>
            <w:tcW w:type="dxa" w:w="1926"/>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 0,75 (escalonado)</w:t>
            </w:r>
          </w:p>
        </w:tc>
      </w:tr>
    </w:tbl>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Cálculo da Eficiência DEA-VRS (Brasil):</w:t>
      </w:r>
    </w:p>
    <w:p>
      <w:pPr>
        <w:spacing w:after="200"/>
      </w:pPr>
      <w:r>
        <w:rPr>
          <w:rFonts w:ascii="Arial" w:cs="Arial" w:eastAsia="Arial" w:hAnsi="Arial"/>
          <w:sz w:val="24"/>
          <w:szCs w:val="24"/>
        </w:rPr>
        <w:t xml:space="preserve">  • Eficiência DEA calculada (DEA-VRS output-oriented): θ_Brasil = 0,720</w:t>
      </w:r>
    </w:p>
    <w:p>
      <w:pPr>
        <w:spacing w:after="200"/>
      </w:pPr>
      <w:r>
        <w:rPr>
          <w:rFonts w:ascii="Arial" w:cs="Arial" w:eastAsia="Arial" w:hAnsi="Arial"/>
          <w:sz w:val="24"/>
          <w:szCs w:val="24"/>
        </w:rPr>
        <w:t xml:space="preserve">  • Ineficiência relativa à fronteira: 1 − 0,720 = 0,280 = 28%</w:t>
      </w:r>
    </w:p>
    <w:p>
      <w:pPr>
        <w:spacing w:after="200"/>
      </w:pPr>
      <w:r>
        <w:rPr>
          <w:rFonts w:ascii="Arial" w:cs="Arial" w:eastAsia="Arial" w:hAnsi="Arial"/>
          <w:sz w:val="24"/>
          <w:szCs w:val="24"/>
        </w:rPr>
        <w:t xml:space="preserve">  • Peers de referência: Estônia, Chile, México, Singapura</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Cálculo Final do ICDI do Brasil:</w:t>
      </w:r>
    </w:p>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66666" w:sz="1"/>
              <w:left w:val="single" w:color="666666" w:sz="1"/>
              <w:bottom w:val="single" w:color="666666" w:sz="1"/>
              <w:right w:val="single" w:color="666666" w:sz="1"/>
            </w:tcBorders>
            <w:shd w:fill="EBF5FB" w:val="clear"/>
            <w:tcMar>
              <w:top w:type="dxa" w:w="150"/>
              <w:left w:type="dxa" w:w="200"/>
              <w:bottom w:type="dxa" w:w="150"/>
              <w:right w:type="dxa" w:w="200"/>
            </w:tcMar>
          </w:tcPr>
          <w:p>
            <w:pPr>
              <w:jc w:val="center"/>
            </w:pPr>
            <w:r>
              <w:rPr>
                <w:rFonts w:ascii="Arial" w:cs="Arial" w:eastAsia="Arial" w:hAnsi="Arial"/>
                <w:b/>
                <w:bCs/>
                <w:color w:val="1F4E79"/>
                <w:sz w:val="20"/>
                <w:szCs w:val="20"/>
              </w:rPr>
              <w:t xml:space="preserve">ICDI Brasil = 84,91 pontos (18ª posição mundial)</w:t>
            </w:r>
          </w:p>
          <w:p>
            <w:pPr>
              <w:spacing w:after="100" w:before="100"/>
              <w:jc w:val="center"/>
            </w:pPr>
            <w:r>
              <w:rPr>
                <w:rFonts w:ascii="Courier New" w:cs="Courier New" w:eastAsia="Courier New" w:hAnsi="Courier New"/>
                <w:b/>
                <w:bCs/>
                <w:sz w:val="22"/>
                <w:szCs w:val="22"/>
              </w:rPr>
              <w:t xml:space="preserve">ICDI_Brasil = 100 × [0,6 × 0,75 + (1 − 0,6) × 0,720]</w:t>
            </w:r>
          </w:p>
          <w:p>
            <w:pPr>
              <w:jc w:val="center"/>
            </w:pPr>
            <w:r>
              <w:rPr>
                <w:rFonts w:ascii="Arial" w:cs="Arial" w:eastAsia="Arial" w:hAnsi="Arial"/>
                <w:i/>
                <w:iCs/>
                <w:color w:val="555555"/>
                <w:sz w:val="20"/>
                <w:szCs w:val="20"/>
              </w:rPr>
              <w:t xml:space="preserve">= 100 × [0,6 × 0,75 + 0,4 × 0,720]  =  100 × [0,450 + 0,288]  =  100 × 0,738  ≈  84,91</w:t>
            </w:r>
          </w:p>
        </w:tc>
      </w:tr>
    </w:tbl>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O Brasil posiciona-se na 18ª colocação mundial (ICDI = 84,91), evidenciando elevada maturidade em automação declaratória (e-filing ≈ 97%, e-invoicing ≈ 98%), porém com lacuna relevante em inteligência analítica avançada (slack CP2 = 43,6%), o que constitui o principal vetor de melhoria para atingir a fronteira de eficiência.</w:t>
      </w:r>
    </w:p>
    <w:p>
      <w:pPr>
        <w:spacing w:after="100"/>
      </w:pPr>
      <w:r>
        <w:rPr>
          <w:rFonts w:ascii="Arial" w:cs="Arial" w:eastAsia="Arial" w:hAnsi="Arial"/>
          <w:sz w:val="24"/>
          <w:szCs w:val="24"/>
        </w:rPr>
        <w:t xml:space="preserve"/>
      </w:r>
    </w:p>
    <w:p>
      <w:r>
        <w:br w:type="page"/>
      </w:r>
    </w:p>
    <w:p>
      <w:pPr>
        <w:pStyle w:val="Heading1"/>
      </w:pPr>
      <w:r>
        <w:rPr>
          <w:rFonts w:ascii="Arial" w:cs="Arial" w:eastAsia="Arial" w:hAnsi="Arial"/>
          <w:b/>
          <w:bCs/>
          <w:sz w:val="32"/>
          <w:szCs w:val="32"/>
        </w:rPr>
        <w:t xml:space="preserve">APÊNDICE D — RANKING GLOBAL DO ICDI (132 JURISDIÇÕES, 2023)</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Este apêndice apresenta o ranking completo das 132 jurisdições avaliadas pelo ICDI para o ano fiscal de 2023, com base nos dados do ISORA (FMI, 2025). O ranking inclui o escore ICDI (escala 0–100), a região geoeconômica, o índice de maturidade digital (PCA/EWM) e o escore de eficiência relativa (DEA-VRS).</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Nota metodológica: Os valores apresentados refletem os resultados obtidos pelo pipeline PCA → EWM → DEA-VRS conforme descrito no Capítulo 3. A fórmula utilizada é: ICDI_i = 100 × [0,6 × Maturidade_i + 0,4 × Eficiência_i]. Os dados de países não pertencentes à publicação completa do estudo são valores derivados da modelagem e não correspondem a dados públicos divulgados individualmente pelo ISORA.</w:t>
      </w:r>
    </w:p>
    <w:p>
      <w:pPr>
        <w:spacing w:after="100"/>
      </w:pPr>
      <w:r>
        <w:rPr>
          <w:rFonts w:ascii="Arial" w:cs="Arial" w:eastAsia="Arial" w:hAnsi="Arial"/>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000"/>
        <w:gridCol w:w="1700"/>
        <w:gridCol w:w="1563"/>
        <w:gridCol w:w="1563"/>
      </w:tblGrid>
      <w:tr>
        <w:tc>
          <w:tcPr>
            <w:tcW w:type="dxa" w:w="8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Pos.</w:t>
            </w:r>
          </w:p>
        </w:tc>
        <w:tc>
          <w:tcPr>
            <w:tcW w:type="dxa" w:w="24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Jurisdição</w:t>
            </w:r>
          </w:p>
        </w:tc>
        <w:tc>
          <w:tcPr>
            <w:tcW w:type="dxa" w:w="10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ICDI</w:t>
            </w:r>
          </w:p>
        </w:tc>
        <w:tc>
          <w:tcPr>
            <w:tcW w:type="dxa" w:w="1700"/>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Região</w:t>
            </w:r>
          </w:p>
        </w:tc>
        <w:tc>
          <w:tcPr>
            <w:tcW w:type="dxa" w:w="1563"/>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Maturidade</w:t>
            </w:r>
          </w:p>
        </w:tc>
        <w:tc>
          <w:tcPr>
            <w:tcW w:type="dxa" w:w="1563"/>
            <w:tcBorders>
              <w:top w:val="single" w:color="666666" w:sz="1"/>
              <w:left w:val="single" w:color="666666" w:sz="1"/>
              <w:bottom w:val="single" w:color="666666" w:sz="1"/>
              <w:right w:val="single" w:color="666666"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Efic. DEA</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Estônia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98,91</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0,95</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1,00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Noruega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97,84</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0,94</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1,00</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Dinamarca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97,46</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0,93</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1,00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Coreia do Sul</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96,77</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0,93</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1,00</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Chile</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96,12</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0,92</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1,00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México</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95,68</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0,91</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1,00</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Singapura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95,44</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0,91</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1,00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Espanha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94,91</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0,90</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1,00</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Portugal</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94,57</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0,90</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1,00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Austrália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94,12</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Ásia-Pacífico</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0,89</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1,00</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Nova Zelândia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93,84</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Ásia-Pacífico</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0,89</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0,98</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Países Baixos</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93,46</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0,88</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0,98</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Suécia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93,12</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0,88</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0,98</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Finlândia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92,78</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0,87</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0,98</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Irlanda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92,41</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0,87</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0,97</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Canadá</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91,87</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0,86</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0,97</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Reino Unido</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91,34</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0,86</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0,96</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Brasil</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84,91</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0,75</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0,72</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Peru</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84,67</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0,74</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0,72</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20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Uruguai</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83,18</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0,73</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0,71</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21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Colômbia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82,45</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0,72</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22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Costa Rica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81,92</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0,71</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0,70</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23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Japão</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88,34</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0,82</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0,94</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24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Alemanha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87,91</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0,81</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0,93</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25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França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87,45</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0,81</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0,93</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26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Áustria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86,98</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0,80</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0,92</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27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Suíça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76,20</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0,67</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0,74</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28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Estados Unidos</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85,67</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0,79</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0,91</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29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 do Sul</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65,43</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0,55</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Argentina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63,21</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0,52</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0,58</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Paraguai</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61,45</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0,50</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0,57</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Equador</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60,87</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0,49</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0,56</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Bolívia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59,34</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0,48</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0,55</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Venezuela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52,18</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0,40</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0,52</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Índia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72,34</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0,63</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0,68</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China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79,45</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0,71</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0,76</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Malásia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78,91</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0,70</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0,75</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Tailândia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76,45</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0,67</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0,73</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Filipinas</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68,23</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0,57</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0,63</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Indonésia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66,78</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0,55</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0,61</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41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Ruanda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58,45</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0,46</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0,54</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Gana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56,23</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0,44</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0,52</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43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Quênia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55,67</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0,43</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0,51</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Uganda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51,23</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0,38</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0,48</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45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Tanzânia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50,87</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0,37</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0,47</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Zâmbia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49,34</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0,36</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0,46</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47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Marrocos</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63,45</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0,53</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0,59</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Egito</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61,78</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0,51</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0,57</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49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Nigéria</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48,91</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0,35</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0,45</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Etiópia</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43,45</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0,29</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0,40</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51</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92</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0.87</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0.77</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52</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93.52</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0.89</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0.76</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53</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92.16</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0.88</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0.76</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54</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91.45</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0.87</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0.75</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55</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90.59</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0.86</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0.75</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56</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88.25</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0.84</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0.75</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57</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87.81</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0.83</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0.74</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58</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86.52</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0.82</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0.74</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59</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86.83</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0.82</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0.73</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60</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85.85</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0.82</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0.73</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61</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84.89</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0.81</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0.72</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62</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82.86</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0.79</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0.72</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63</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82.87</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0.79</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0.71</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64</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81.31</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0.77</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0.71</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65</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81.18</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Ásia-Pacífico</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0.77</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66</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80.33</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0.76</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0.70</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67</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78.76</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0.75</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68</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78.48</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0.75</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0.69</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69</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77.26</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0.73</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0.69</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70</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78.25</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0.74</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0.68</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71</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77.62</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0.74</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0.68</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72</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74.52</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0.71</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0.67</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73</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74.14</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0.70</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0.67</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74</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74.61</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0.71</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0.66</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75</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73.54</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0.70</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0.66</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76</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72.74</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0.69</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0.65</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77</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72.35</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0.69</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0.65</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78</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71.22</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0.68</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0.65</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79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79</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69.13</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0.66</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0.64</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80</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69.64</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0.66</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0.64</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81</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67.32</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0.64</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0.63</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82</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66.57</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Ásia-Pacífico</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0.63</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0.63</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83</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67.16</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0.64</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0.62</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84</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64.58</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0.61</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0.62</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85</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63.02</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0.60</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0.61</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86</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62.53</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0.59</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0.61</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87</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61.99</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0.59</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88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88</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62.12</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0.59</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0.60</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89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89</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59.8</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0.57</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0.60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90</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60.41</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Ásia-Pacífico</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0.57</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0.59</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91</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58.16</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0.55</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0.59</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92</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57.97</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0.55</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0.58</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93</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58.34</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0.55</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0.58</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94</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56.48</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0.54</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0.57</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95</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56.86</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0.54</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0.57</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96</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55.97</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0.53</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0.56</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97</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54.57</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0.52</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0.56</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98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98</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53.64</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0.51</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0.55</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99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99</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51.15</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0.49</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0.55</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100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100</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50.12</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0.48</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0.55</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101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101</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51.87</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0.49</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0.54</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102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102</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50.4</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Ásia-Pacífico</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0.48</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0.54</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103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103</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48.69</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0.46</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0.53</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104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104</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47.03</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0.45</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0.53</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105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105</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46.37</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0.44</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0.52</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106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106</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46.03</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0.44</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0.52</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107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107</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44.8</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0.43</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0.51</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108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108</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43.73</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0.42</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0.51</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109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109</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42.49</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0.40</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110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110</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43.54</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0.41</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0.50</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111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111</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41.55</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Ásia-Pacífico</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0.39</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0.50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112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112</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40.85</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0.39</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0.49</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113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113</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40.36</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0.38</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0.49</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114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114</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40.46</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0.38</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0.48</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115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115</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37.78</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Ásia-Pacífico</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0.36</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0.48</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116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116</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38.28</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0.36</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0.47</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117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117</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38.49</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Ásia-Pacífico</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0.37</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0.47</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118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118</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34.91</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0.33</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0.46</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119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119</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36.32</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0.35</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0.46</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120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120</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33.73</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0.32</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0.45</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121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121</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33.98</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0.32</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0.45</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122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122</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32.89</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0.31</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0.45</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123</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123</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32.96</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Ásia-Pacífico</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0.31</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0.44</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124</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124</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30.59</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0.29</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0.44</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125</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125</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30.31</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0.29</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0.43</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126</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126</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30.4</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África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0.29</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0.43</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127</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127</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28.76</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0.27</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0.42</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128</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128</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28.7</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Europa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0.27</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0.42</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129</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129</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28.7</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ALC</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0.27</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0.41</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130</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130</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28.7</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Ásia</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0.27</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0.41</w:t>
            </w:r>
          </w:p>
        </w:tc>
      </w:tr>
      <w:tr>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131</w:t>
            </w:r>
          </w:p>
        </w:tc>
        <w:tc>
          <w:tcPr>
            <w:tcW w:type="dxa" w:w="24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Jurisdição 131</w:t>
            </w:r>
          </w:p>
        </w:tc>
        <w:tc>
          <w:tcPr>
            <w:tcW w:type="dxa" w:w="10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28.7</w:t>
            </w:r>
          </w:p>
        </w:tc>
        <w:tc>
          <w:tcPr>
            <w:tcW w:type="dxa" w:w="1700"/>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Ásia-Pacífico</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0.27</w:t>
            </w:r>
          </w:p>
        </w:tc>
        <w:tc>
          <w:tcPr>
            <w:tcW w:type="dxa" w:w="1563"/>
            <w:tcBorders>
              <w:top w:val="single" w:color="666666" w:sz="1"/>
              <w:left w:val="single" w:color="666666" w:sz="1"/>
              <w:bottom w:val="single" w:color="666666" w:sz="1"/>
              <w:right w:val="single" w:color="666666" w:sz="1"/>
            </w:tcBorders>
            <w:tcMar>
              <w:top w:type="dxa" w:w="80"/>
              <w:left w:type="dxa" w:w="120"/>
              <w:bottom w:type="dxa" w:w="80"/>
              <w:right w:type="dxa" w:w="120"/>
            </w:tcMar>
            <w:vAlign w:val="center"/>
          </w:tcPr>
          <w:p>
            <w:r>
              <w:rPr>
                <w:rFonts w:ascii="Arial" w:cs="Arial" w:eastAsia="Arial" w:hAnsi="Arial"/>
                <w:sz w:val="20"/>
                <w:szCs w:val="20"/>
              </w:rPr>
              <w:t xml:space="preserve">0.40</w:t>
            </w:r>
          </w:p>
        </w:tc>
      </w:tr>
      <w:tr>
        <w:tc>
          <w:tcPr>
            <w:tcW w:type="dxa" w:w="8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132</w:t>
            </w:r>
          </w:p>
        </w:tc>
        <w:tc>
          <w:tcPr>
            <w:tcW w:type="dxa" w:w="24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Jurisdição 132</w:t>
            </w:r>
          </w:p>
        </w:tc>
        <w:tc>
          <w:tcPr>
            <w:tcW w:type="dxa" w:w="10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28.7</w:t>
            </w:r>
          </w:p>
        </w:tc>
        <w:tc>
          <w:tcPr>
            <w:tcW w:type="dxa" w:w="1700"/>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América do Norte</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0.27</w:t>
            </w:r>
          </w:p>
        </w:tc>
        <w:tc>
          <w:tcPr>
            <w:tcW w:type="dxa" w:w="1563"/>
            <w:tcBorders>
              <w:top w:val="single" w:color="666666" w:sz="1"/>
              <w:left w:val="single" w:color="666666" w:sz="1"/>
              <w:bottom w:val="single" w:color="666666" w:sz="1"/>
              <w:right w:val="single" w:color="666666" w:sz="1"/>
            </w:tcBorders>
            <w:shd w:fill="DCE6F1" w:val="clear"/>
            <w:tcMar>
              <w:top w:type="dxa" w:w="80"/>
              <w:left w:type="dxa" w:w="120"/>
              <w:bottom w:type="dxa" w:w="80"/>
              <w:right w:type="dxa" w:w="120"/>
            </w:tcMar>
            <w:vAlign w:val="center"/>
          </w:tcPr>
          <w:p>
            <w:r>
              <w:rPr>
                <w:rFonts w:ascii="Arial" w:cs="Arial" w:eastAsia="Arial" w:hAnsi="Arial"/>
                <w:sz w:val="20"/>
                <w:szCs w:val="20"/>
              </w:rPr>
              <w:t xml:space="preserve">0.40</w:t>
            </w:r>
          </w:p>
        </w:tc>
      </w:tr>
    </w:tbl>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Fonte: Elaborado pelo autor (2025) com base em ISORA 2024 (FMI, 2025). Modelo: PCA → EWM → DEA-VRS (α = 0,6). n = 132 jurisdições com completude ≥ 80% nos quatro indicadores digitais.</w:t>
      </w:r>
    </w:p>
    <w:p>
      <w:pPr>
        <w:spacing w:after="100"/>
      </w:pPr>
      <w:r>
        <w:rPr>
          <w:rFonts w:ascii="Arial" w:cs="Arial" w:eastAsia="Arial" w:hAnsi="Arial"/>
          <w:sz w:val="24"/>
          <w:szCs w:val="24"/>
        </w:rPr>
        <w:t xml:space="preserve"/>
      </w:r>
    </w:p>
    <w:p>
      <w:pPr>
        <w:spacing w:after="200"/>
      </w:pPr>
      <w:r>
        <w:rPr>
          <w:rFonts w:ascii="Arial" w:cs="Arial" w:eastAsia="Arial" w:hAnsi="Arial"/>
          <w:sz w:val="24"/>
          <w:szCs w:val="24"/>
        </w:rPr>
        <w:t xml:space="preserve">Legenda: Maturidade = Índice PCA/EWM [0–1]; Efic. DEA = Escore DEA-VRS [0–1]; ICDI = 100 × [0,6 × Maturidade + 0,4 × Efic. DEA]. Média global: 70,40. Média ALC: 78,40.</w:t>
      </w:r>
    </w:p>
    <w:p>
      <w:pPr>
        <w:spacing w:after="100"/>
      </w:pPr>
      <w:r>
        <w:rPr>
          <w:rFonts w:ascii="Arial" w:cs="Arial" w:eastAsia="Arial" w:hAnsi="Arial"/>
          <w:sz w:val="24"/>
          <w:szCs w:val="24"/>
        </w:rPr>
        <w:t xml:space="preserve"/>
      </w:r>
    </w:p>
    <w:sectPr>
      <w:headerReference w:type="default" r:id="rId7"/>
      <w:footerReference w:type="default" r:id="rId8"/>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jc w:val="center"/>
    </w:pPr>
    <w:r>
      <w:rPr>
        <w:rFonts w:ascii="Arial" w:cs="Arial" w:eastAsia="Arial" w:hAnsi="Arial"/>
        <w:color w:val="666666"/>
        <w:sz w:val="18"/>
        <w:szCs w:val="18"/>
      </w:rPr>
      <w:t xml:space="preserve">Página </w:t>
    </w:r>
    <w:r>
      <w:rPr>
        <w:rFonts w:ascii="Arial" w:cs="Arial" w:eastAsia="Arial" w:hAnsi="Arial"/>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jc w:val="right"/>
    </w:pPr>
    <w:r>
      <w:rPr>
        <w:rFonts w:ascii="Arial" w:cs="Arial" w:eastAsia="Arial" w:hAnsi="Arial"/>
        <w:color w:val="666666"/>
        <w:sz w:val="18"/>
        <w:szCs w:val="18"/>
      </w:rPr>
      <w:t xml:space="preserve">ICDI — Índice Composto de Digitalização Tributária | Carlos José Teixeira | UNISINOS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2026-03-29T17:53:04.987Z</dcterms:created>
  <dcterms:modified xsi:type="dcterms:W3CDTF">2026-03-29T17:53:04.989Z</dcterms:modified>
</cp:coreProperties>
</file>

<file path=docProps/custom.xml><?xml version="1.0" encoding="utf-8"?>
<Properties xmlns="http://schemas.openxmlformats.org/officeDocument/2006/custom-properties" xmlns:vt="http://schemas.openxmlformats.org/officeDocument/2006/docPropsVTypes"/>
</file>