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integral de coherencia y atención de observaciones</w:t>
      </w:r>
    </w:p>
    <w:p>
      <w:r>
        <w:t>Tesis de Jhon Cristhian Torres Hoyos · Universidad Nacional de Cajamarca · 16 de octubre de 2026</w:t>
      </w:r>
    </w:p>
    <w:p>
      <w:r>
        <w:t>Implementación de un sistema automatizado de adquisición de métricas y análisis del desbalance de señal (ΔRSSI) en un radioenlace MIMO de 5,8 GHz en un entorno andino.</w:t>
      </w:r>
    </w:p>
    <w:p>
      <w:r>
        <w:t>Resultado de la auditoría: se corrigieron inconsistencias de exposición, pertinencia de citas, descripción del RSSI y secuencia de las verificaciones. La versión revisada mantiene correspondencia entre preguntas, objetivos, metodología, resultados y conclusiones. Las observaciones se documentan como atendidas en el texto remitido; la conformidad corresponde a cada jurado.</w:t>
      </w:r>
    </w:p>
    <w:p>
      <w:pPr>
        <w:pStyle w:val="Heading1"/>
      </w:pPr>
      <w:r>
        <w:t>1. Alcance y bases de comprobación</w:t>
      </w:r>
    </w:p>
    <w:p>
      <w:r>
        <w:t>Se revisó el documento completo: preliminares, resumen, abstract, capítulos I–VI, bibliografía y anexos técnicos 1–7. El seguimiento comprende ocho observaciones de Ena Cacho, cinco de Manuel E. Malpica Rodríguez y dos de Manuel Roberto Azahuanche Oliva, además de cinco precisiones fotográficas de Ena y doce de Manuel ya consolidadas. Se volvió a cotejar la imagen original disponible de Roberto, fechada el 14/10/2026; sus dos pedidos corresponden a siglas e hipótesis/contrastación.</w:t>
      </w:r>
    </w:p>
    <w:p>
      <w:r>
        <w:t>La comprobación numérica de esta auditoría se ejecutó sobre los 90 CSV del archivo original, contrastando sus resultados con las tablas preservadas. Se revisaron código de preprocesamiento, salidas descriptivas, correlaciones, manifiestos, registros de las pruebas de software y cronología de revisión. Las anotaciones fotográficas de Ena y Manuel se siguen mediante su transcripción consolidada, conservada en las cartas individuales.</w:t>
      </w:r>
    </w:p>
    <w:p>
      <w:r>
        <w:t>La tesis resultante tiene 110 páginas. El Anexo 8 permanece retirado: las cartas y este informe son documentos independientes. Se preservan las 12 imágenes incorporadas, incluidas las firmas, y las 38 expresiones matemáticas nativas. No se modifica el contenido de las tres fichas de revisión especializada.</w:t>
      </w:r>
    </w:p>
    <w:p>
      <w:pPr>
        <w:pStyle w:val="Heading1"/>
      </w:pPr>
      <w:r>
        <w:t>2. Correspondencia de la estructura científica</w:t>
      </w:r>
    </w:p>
    <w:tbl>
      <w:tblPr>
        <w:tblStyle w:val="TableGrid"/>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b/>
              </w:rPr>
              <w:t>Componente</w:t>
            </w:r>
          </w:p>
        </w:tc>
        <w:tc>
          <w:tcPr>
            <w:tcW w:type="dxa" w:w="2353"/>
          </w:tcPr>
          <w:p>
            <w:r>
              <w:rPr>
                <w:b/>
              </w:rPr>
              <w:t>Qué se evalúa</w:t>
            </w:r>
          </w:p>
        </w:tc>
        <w:tc>
          <w:tcPr>
            <w:tcW w:type="dxa" w:w="2353"/>
          </w:tcPr>
          <w:p>
            <w:r>
              <w:rPr>
                <w:b/>
              </w:rPr>
              <w:t>Correspondencia en la tesis</w:t>
            </w:r>
          </w:p>
        </w:tc>
        <w:tc>
          <w:tcPr>
            <w:tcW w:type="dxa" w:w="2353"/>
          </w:tcPr>
          <w:p>
            <w:r>
              <w:rPr>
                <w:b/>
              </w:rPr>
              <w:t>Resultado</w:t>
            </w:r>
          </w:p>
        </w:tc>
      </w:tr>
      <w:tr>
        <w:trPr>
          <w:cantSplit/>
        </w:trPr>
        <w:tc>
          <w:tcPr>
            <w:tcW w:type="dxa" w:w="2353"/>
          </w:tcPr>
          <w:p>
            <w:r>
              <w:t>General</w:t>
            </w:r>
          </w:p>
        </w:tc>
        <w:tc>
          <w:tcPr>
            <w:tcW w:type="dxa" w:w="2353"/>
          </w:tcPr>
          <w:p>
            <w:r>
              <w:t>Implementar y verificar el sistema; caracterizar ΔRSSI y examinar asociaciones.</w:t>
            </w:r>
          </w:p>
        </w:tc>
        <w:tc>
          <w:tcPr>
            <w:tcW w:type="dxa" w:w="2353"/>
          </w:tcPr>
          <w:p>
            <w:r>
              <w:t>§1.2, §1.5–1.6; §3.1–3.6; §4.1–4.6; conclusión general.</w:t>
            </w:r>
          </w:p>
        </w:tc>
        <w:tc>
          <w:tcPr>
            <w:tcW w:type="dxa" w:w="2353"/>
          </w:tcPr>
          <w:p>
            <w:r>
              <w:t>Coherente. La hipótesis pertenece al componente correlacional.</w:t>
            </w:r>
          </w:p>
        </w:tc>
      </w:tr>
      <w:tr>
        <w:trPr>
          <w:cantSplit/>
        </w:trPr>
        <w:tc>
          <w:tcPr>
            <w:tcW w:type="dxa" w:w="2353"/>
          </w:tcPr>
          <w:p>
            <w:r>
              <w:t>PE1 / OE1</w:t>
            </w:r>
          </w:p>
        </w:tc>
        <w:tc>
          <w:tcPr>
            <w:tcW w:type="dxa" w:w="2353"/>
          </w:tcPr>
          <w:p>
            <w:r>
              <w:t>Adquisición y almacenamiento periódico con verificación funcional.</w:t>
            </w:r>
          </w:p>
        </w:tc>
        <w:tc>
          <w:tcPr>
            <w:tcW w:type="dxa" w:w="2353"/>
          </w:tcPr>
          <w:p>
            <w:r>
              <w:t>§3.3–3.3.1; §4.1–4.2; Anexos 2, 3, 6 y 7; conclusión específica 1.</w:t>
            </w:r>
          </w:p>
        </w:tc>
        <w:tc>
          <w:tcPr>
            <w:tcW w:type="dxa" w:w="2353"/>
          </w:tcPr>
          <w:p>
            <w:r>
              <w:t>La prueba respalda extracción histórica y reproducción; no equivale a calibración.</w:t>
            </w:r>
          </w:p>
        </w:tc>
      </w:tr>
      <w:tr>
        <w:trPr>
          <w:cantSplit/>
        </w:trPr>
        <w:tc>
          <w:tcPr>
            <w:tcW w:type="dxa" w:w="2353"/>
          </w:tcPr>
          <w:p>
            <w:r>
              <w:t>PE2 / OE2</w:t>
            </w:r>
          </w:p>
        </w:tc>
        <w:tc>
          <w:tcPr>
            <w:tcW w:type="dxa" w:w="2353"/>
          </w:tcPr>
          <w:p>
            <w:r>
              <w:t>Distribución y variabilidad del RSSI por cadena.</w:t>
            </w:r>
          </w:p>
        </w:tc>
        <w:tc>
          <w:tcPr>
            <w:tcW w:type="dxa" w:w="2353"/>
          </w:tcPr>
          <w:p>
            <w:r>
              <w:t>§3.4; §4.3, Fig. 3; §5.1; conclusión específica 2.</w:t>
            </w:r>
          </w:p>
        </w:tc>
        <w:tc>
          <w:tcPr>
            <w:tcW w:type="dxa" w:w="2353"/>
          </w:tcPr>
          <w:p>
            <w:r>
              <w:t>Se completaron n, media, mediana, cuartiles y rango por cadena.</w:t>
            </w:r>
          </w:p>
        </w:tc>
      </w:tr>
      <w:tr>
        <w:trPr>
          <w:cantSplit/>
        </w:trPr>
        <w:tc>
          <w:tcPr>
            <w:tcW w:type="dxa" w:w="2353"/>
          </w:tcPr>
          <w:p>
            <w:r>
              <w:t>PE3 / OE3</w:t>
            </w:r>
          </w:p>
        </w:tc>
        <w:tc>
          <w:tcPr>
            <w:tcW w:type="dxa" w:w="2353"/>
          </w:tcPr>
          <w:p>
            <w:r>
              <w:t>Distribución y comportamiento temporal del ΔRSSI.</w:t>
            </w:r>
          </w:p>
        </w:tc>
        <w:tc>
          <w:tcPr>
            <w:tcW w:type="dxa" w:w="2353"/>
          </w:tcPr>
          <w:p>
            <w:r>
              <w:t>§3.4–3.5; §4.3, Figs. 4–5; conclusión específica 3.</w:t>
            </w:r>
          </w:p>
        </w:tc>
        <w:tc>
          <w:tcPr>
            <w:tcW w:type="dxa" w:w="2353"/>
          </w:tcPr>
          <w:p>
            <w:r>
              <w:t>Diferencia absoluta por par válido; distribución y variación temporal.</w:t>
            </w:r>
          </w:p>
        </w:tc>
      </w:tr>
      <w:tr>
        <w:trPr>
          <w:cantSplit/>
        </w:trPr>
        <w:tc>
          <w:tcPr>
            <w:tcW w:type="dxa" w:w="2353"/>
          </w:tcPr>
          <w:p>
            <w:r>
              <w:t>PE4 / OE4</w:t>
            </w:r>
          </w:p>
        </w:tc>
        <w:tc>
          <w:tcPr>
            <w:tcW w:type="dxa" w:w="2353"/>
          </w:tcPr>
          <w:p>
            <w:r>
              <w:t>Magnitud y dirección de asociaciones en dos escalas.</w:t>
            </w:r>
          </w:p>
        </w:tc>
        <w:tc>
          <w:tcPr>
            <w:tcW w:type="dxa" w:w="2353"/>
          </w:tcPr>
          <w:p>
            <w:r>
              <w:t>§3.4; §4.4–4.6, Tablas V–VIII; conclusión específica 4.</w:t>
            </w:r>
          </w:p>
        </w:tc>
        <w:tc>
          <w:tcPr>
            <w:tcW w:type="dxa" w:w="2353"/>
          </w:tcPr>
          <w:p>
            <w:r>
              <w:t>Se mantienen coeficientes y sensibilidad exploratoria, sin confirmación general.</w:t>
            </w:r>
          </w:p>
        </w:tc>
      </w:tr>
      <w:tr>
        <w:trPr>
          <w:cantSplit/>
        </w:trPr>
        <w:tc>
          <w:tcPr>
            <w:tcW w:type="dxa" w:w="2353"/>
          </w:tcPr>
          <w:p>
            <w:r>
              <w:t>PE5 / OE5</w:t>
            </w:r>
          </w:p>
        </w:tc>
        <w:tc>
          <w:tcPr>
            <w:tcW w:type="dxa" w:w="2353"/>
          </w:tcPr>
          <w:p>
            <w:r>
              <w:t>Interpretación técnica dentro de las variables observadas.</w:t>
            </w:r>
          </w:p>
        </w:tc>
        <w:tc>
          <w:tcPr>
            <w:tcW w:type="dxa" w:w="2353"/>
          </w:tcPr>
          <w:p>
            <w:r>
              <w:t>§2.2; §5.1–5.3; conclusión específica 5.</w:t>
            </w:r>
          </w:p>
        </w:tc>
        <w:tc>
          <w:tcPr>
            <w:tcW w:type="dxa" w:w="2353"/>
          </w:tcPr>
          <w:p>
            <w:r>
              <w:t>Distingue mecanismos posibles de causas físicas no identificadas.</w:t>
            </w:r>
          </w:p>
        </w:tc>
      </w:tr>
    </w:tbl>
    <w:p>
      <w:r>
        <w:t>Se comprobó correspondencia literal de las seis preguntas y los seis objetivos entre el capítulo I y la Tabla II, descontando los prefijos de identificación. La formulación general y las cinco específicas se mantienen alineadas. Los objetivos tecnológicos, descriptivos e interpretativos no reciben hipótesis estadísticas artificiales.</w:t>
      </w:r>
    </w:p>
    <w:p>
      <w:r>
        <w:t>La metodología diferencia el desarrollo del instrumento de la observación longitudinal del radioenlace. Explicita unidad canónica, cobertura, selección no probabilística de registros disponibles, procesamiento de ausencias, rangos de validez, escalas temporales, Pearson/Spearman y remuestreo posterior. La hipótesis se conserva y se evalúa; no se declara que haya sido confirmada de manera concluyente.</w:t>
      </w:r>
    </w:p>
    <w:p>
      <w:pPr>
        <w:pStyle w:val="Heading1"/>
      </w:pPr>
      <w:r>
        <w:t>3. Resumen, abstract e introducción</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Elemento</w:t>
            </w:r>
          </w:p>
        </w:tc>
        <w:tc>
          <w:tcPr>
            <w:tcW w:type="dxa" w:w="3137"/>
          </w:tcPr>
          <w:p>
            <w:r>
              <w:rPr>
                <w:b/>
              </w:rPr>
              <w:t>Comprobación</w:t>
            </w:r>
          </w:p>
        </w:tc>
        <w:tc>
          <w:tcPr>
            <w:tcW w:type="dxa" w:w="3137"/>
          </w:tcPr>
          <w:p>
            <w:r>
              <w:rPr>
                <w:b/>
              </w:rPr>
              <w:t>Resultado aplicado</w:t>
            </w:r>
          </w:p>
        </w:tc>
      </w:tr>
      <w:tr>
        <w:trPr>
          <w:cantSplit/>
        </w:trPr>
        <w:tc>
          <w:tcPr>
            <w:tcW w:type="dxa" w:w="3137"/>
          </w:tcPr>
          <w:p>
            <w:r>
              <w:t>Problema y objetivo</w:t>
            </w:r>
          </w:p>
        </w:tc>
        <w:tc>
          <w:tcPr>
            <w:tcW w:type="dxa" w:w="3137"/>
          </w:tcPr>
          <w:p>
            <w:r>
              <w:t>Misma necesidad de telemetría trazable y mismo doble componente tecnológico/analítico.</w:t>
            </w:r>
          </w:p>
        </w:tc>
        <w:tc>
          <w:tcPr>
            <w:tcW w:type="dxa" w:w="3137"/>
          </w:tcPr>
          <w:p>
            <w:r>
              <w:t>Resumen y abstract se reescribieron en correspondencia con §1.1, §1.2 y §1.5.</w:t>
            </w:r>
          </w:p>
        </w:tc>
      </w:tr>
      <w:tr>
        <w:trPr>
          <w:cantSplit/>
        </w:trPr>
        <w:tc>
          <w:tcPr>
            <w:tcW w:type="dxa" w:w="3137"/>
          </w:tcPr>
          <w:p>
            <w:r>
              <w:t>Diseño y procedimiento</w:t>
            </w:r>
          </w:p>
        </w:tc>
        <w:tc>
          <w:tcPr>
            <w:tcW w:type="dxa" w:w="3137"/>
          </w:tcPr>
          <w:p>
            <w:r>
              <w:t>Cuantitativo, aplicado, descriptivo-correlacional, no experimental longitudinal.</w:t>
            </w:r>
          </w:p>
        </w:tc>
        <w:tc>
          <w:tcPr>
            <w:tcW w:type="dxa" w:w="3137"/>
          </w:tcPr>
          <w:p>
            <w:r>
              <w:t>Bash/SSH/CSV se distinguen del procesamiento Python; no se afirma un experimento de configuración.</w:t>
            </w:r>
          </w:p>
        </w:tc>
      </w:tr>
      <w:tr>
        <w:trPr>
          <w:cantSplit/>
        </w:trPr>
        <w:tc>
          <w:tcPr>
            <w:tcW w:type="dxa" w:w="3137"/>
          </w:tcPr>
          <w:p>
            <w:r>
              <w:t>Evidencia de implementación</w:t>
            </w:r>
          </w:p>
        </w:tc>
        <w:tc>
          <w:tcPr>
            <w:tcW w:type="dxa" w:w="3137"/>
          </w:tcPr>
          <w:p>
            <w:r>
              <w:t>Extracción y almacenamiento, no solo una captura de pantalla.</w:t>
            </w:r>
          </w:p>
        </w:tc>
        <w:tc>
          <w:tcPr>
            <w:tcW w:type="dxa" w:w="3137"/>
          </w:tcPr>
          <w:p>
            <w:r>
              <w:t>Ambos resúmenes informan los 21 438 campos históricos concordantes, incluidos vacíos.</w:t>
            </w:r>
          </w:p>
        </w:tc>
      </w:tr>
      <w:tr>
        <w:trPr>
          <w:cantSplit/>
        </w:trPr>
        <w:tc>
          <w:tcPr>
            <w:tcW w:type="dxa" w:w="3137"/>
          </w:tcPr>
          <w:p>
            <w:r>
              <w:t>Resultados descriptivos</w:t>
            </w:r>
          </w:p>
        </w:tc>
        <w:tc>
          <w:tcPr>
            <w:tcW w:type="dxa" w:w="3137"/>
          </w:tcPr>
          <w:p>
            <w:r>
              <w:t>RSSI por cadena y ΔRSSI en denominadores apropiados.</w:t>
            </w:r>
          </w:p>
        </w:tc>
        <w:tc>
          <w:tcPr>
            <w:tcW w:type="dxa" w:w="3137"/>
          </w:tcPr>
          <w:p>
            <w:r>
              <w:t>Se incorporan medianas −82 y −93 dBm y se mantienen media, mediana y rango del ΔRSSI.</w:t>
            </w:r>
          </w:p>
        </w:tc>
      </w:tr>
      <w:tr>
        <w:trPr>
          <w:cantSplit/>
        </w:trPr>
        <w:tc>
          <w:tcPr>
            <w:tcW w:type="dxa" w:w="3137"/>
          </w:tcPr>
          <w:p>
            <w:r>
              <w:t>Resultados de asociación</w:t>
            </w:r>
          </w:p>
        </w:tc>
        <w:tc>
          <w:tcPr>
            <w:tcW w:type="dxa" w:w="3137"/>
          </w:tcPr>
          <w:p>
            <w:r>
              <w:t>Coeficientes original/horario, n y sensibilidad.</w:t>
            </w:r>
          </w:p>
        </w:tc>
        <w:tc>
          <w:tcPr>
            <w:tcW w:type="dxa" w:w="3137"/>
          </w:tcPr>
          <w:p>
            <w:r>
              <w:t>Se conservan 0,190/0,224 y 0,393/0,493; 1 989 horas; intervalo exploratorio [0,369; 0,572].</w:t>
            </w:r>
          </w:p>
        </w:tc>
      </w:tr>
      <w:tr>
        <w:trPr>
          <w:cantSplit/>
        </w:trPr>
        <w:tc>
          <w:tcPr>
            <w:tcW w:type="dxa" w:w="3137"/>
          </w:tcPr>
          <w:p>
            <w:r>
              <w:t>Conclusión e hipótesis</w:t>
            </w:r>
          </w:p>
        </w:tc>
        <w:tc>
          <w:tcPr>
            <w:tcW w:type="dxa" w:w="3137"/>
          </w:tcPr>
          <w:p>
            <w:r>
              <w:t>No confundir asociación con causalidad, capacidad o confirmación general.</w:t>
            </w:r>
          </w:p>
        </w:tc>
        <w:tc>
          <w:tcPr>
            <w:tcW w:type="dxa" w:w="3137"/>
          </w:tcPr>
          <w:p>
            <w:r>
              <w:t>Conclusiones equivalentes en ambos idiomas y congruentes con §4.5–4.6.</w:t>
            </w:r>
          </w:p>
        </w:tc>
      </w:tr>
      <w:tr>
        <w:trPr>
          <w:cantSplit/>
        </w:trPr>
        <w:tc>
          <w:tcPr>
            <w:tcW w:type="dxa" w:w="3137"/>
          </w:tcPr>
          <w:p>
            <w:r>
              <w:t>Introducción</w:t>
            </w:r>
          </w:p>
        </w:tc>
        <w:tc>
          <w:tcPr>
            <w:tcW w:type="dxa" w:w="3137"/>
          </w:tcPr>
          <w:p>
            <w:r>
              <w:t>Contexto → necesidad → enlace observado → preguntas/objetivos.</w:t>
            </w:r>
          </w:p>
        </w:tc>
        <w:tc>
          <w:tcPr>
            <w:tcW w:type="dxa" w:w="3137"/>
          </w:tcPr>
          <w:p>
            <w:r>
              <w:t>Se delimita la contribución y se contextualiza el informe ITU de 2020 sin presentarlo como estadística actual.</w:t>
            </w:r>
          </w:p>
        </w:tc>
      </w:tr>
    </w:tbl>
    <w:p>
      <w:r>
        <w:t>Ubicaciones comprobadas: resumen, página x; abstract, página xi; introducción, página 12; hipótesis, página 15. La equivalencia de los resúmenes se revisó por contenido, cifras, unidades, denominadores y conclusión, sin exigir traducción literal.</w:t>
      </w:r>
    </w:p>
    <w:p>
      <w:pPr>
        <w:pStyle w:val="Heading1"/>
      </w:pPr>
      <w:r>
        <w:t>4. Atención de las observaciones de los jurados</w:t>
      </w:r>
    </w:p>
    <w:p>
      <w:pPr>
        <w:pStyle w:val="Heading2"/>
      </w:pPr>
      <w:r>
        <w:t>Ena Cacho: ocho observaciones</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Observación</w:t>
            </w:r>
          </w:p>
        </w:tc>
        <w:tc>
          <w:tcPr>
            <w:tcW w:type="dxa" w:w="3137"/>
          </w:tcPr>
          <w:p>
            <w:r>
              <w:rPr>
                <w:b/>
              </w:rPr>
              <w:t>Acción y comprobación</w:t>
            </w:r>
          </w:p>
        </w:tc>
        <w:tc>
          <w:tcPr>
            <w:tcW w:type="dxa" w:w="3137"/>
          </w:tcPr>
          <w:p>
            <w:r>
              <w:rPr>
                <w:b/>
              </w:rPr>
              <w:t>Ubicación / estado</w:t>
            </w:r>
          </w:p>
        </w:tc>
      </w:tr>
      <w:tr>
        <w:trPr>
          <w:cantSplit/>
        </w:trPr>
        <w:tc>
          <w:tcPr>
            <w:tcW w:type="dxa" w:w="3137"/>
          </w:tcPr>
          <w:p>
            <w:r>
              <w:t>E1 Uniformar citas y referencias al estilo IEEE.</w:t>
            </w:r>
          </w:p>
        </w:tc>
        <w:tc>
          <w:tcPr>
            <w:tcW w:type="dxa" w:w="3137"/>
          </w:tcPr>
          <w:p>
            <w:r>
              <w:t>Citas y bibliografía revisadas; se retiraron respaldos temáticamente inadecuados y se restableció el orden de primera aparición [1]–[26].</w:t>
            </w:r>
          </w:p>
        </w:tc>
        <w:tc>
          <w:tcPr>
            <w:tcW w:type="dxa" w:w="3137"/>
          </w:tcPr>
          <w:p>
            <w:r>
              <w:t>Citas del texto; referencias bibliográficas; §2.1. Atendida en la versión auditada.</w:t>
            </w:r>
          </w:p>
        </w:tc>
      </w:tr>
      <w:tr>
        <w:trPr>
          <w:cantSplit/>
        </w:trPr>
        <w:tc>
          <w:tcPr>
            <w:tcW w:type="dxa" w:w="3137"/>
          </w:tcPr>
          <w:p>
            <w:r>
              <w:t>E2 Alinear la matriz de consistencia.</w:t>
            </w:r>
          </w:p>
        </w:tc>
        <w:tc>
          <w:tcPr>
            <w:tcW w:type="dxa" w:w="3137"/>
          </w:tcPr>
          <w:p>
            <w:r>
              <w:t>Correspondencia literal verificada para las seis preguntas y los seis objetivos; hipótesis delimitada al componente correlacional.</w:t>
            </w:r>
          </w:p>
        </w:tc>
        <w:tc>
          <w:tcPr>
            <w:tcW w:type="dxa" w:w="3137"/>
          </w:tcPr>
          <w:p>
            <w:r>
              <w:t>§1.2, §1.5, §1.6 y §3.6, Tabla II. Atendida en la versión auditada.</w:t>
            </w:r>
          </w:p>
        </w:tc>
      </w:tr>
      <w:tr>
        <w:trPr>
          <w:cantSplit/>
        </w:trPr>
        <w:tc>
          <w:tcPr>
            <w:tcW w:type="dxa" w:w="3137"/>
          </w:tcPr>
          <w:p>
            <w:r>
              <w:t>E3 Relacionar el problema con el título.</w:t>
            </w:r>
          </w:p>
        </w:tc>
        <w:tc>
          <w:tcPr>
            <w:tcW w:type="dxa" w:w="3137"/>
          </w:tcPr>
          <w:p>
            <w:r>
              <w:t>Título y pregunta general integran implementación, adquisición automatizada, caracterización del ΔRSSI y asociación en un radioenlace MIMO andino.</w:t>
            </w:r>
          </w:p>
        </w:tc>
        <w:tc>
          <w:tcPr>
            <w:tcW w:type="dxa" w:w="3137"/>
          </w:tcPr>
          <w:p>
            <w:r>
              <w:t>Portada; §1.1–1.2. Atendida en la versión auditada.</w:t>
            </w:r>
          </w:p>
        </w:tc>
      </w:tr>
      <w:tr>
        <w:trPr>
          <w:cantSplit/>
        </w:trPr>
        <w:tc>
          <w:tcPr>
            <w:tcW w:type="dxa" w:w="3137"/>
          </w:tcPr>
          <w:p>
            <w:r>
              <w:t>E4 Validar el instrumento.</w:t>
            </w:r>
          </w:p>
        </w:tc>
        <w:tc>
          <w:tcPr>
            <w:tcW w:type="dxa" w:w="3137"/>
          </w:tcPr>
          <w:p>
            <w:r>
              <w:t>Se documentan cotejo CLI–CSV, controles del extractor, captura ampliada y reproducción del procesamiento completo. La validación distingue extracción de calibración física.</w:t>
            </w:r>
          </w:p>
        </w:tc>
        <w:tc>
          <w:tcPr>
            <w:tcW w:type="dxa" w:w="3137"/>
          </w:tcPr>
          <w:p>
            <w:r>
              <w:t>§3.3; §4.1; Anexos 2, 3 y 7. Atendida en la versión auditada.</w:t>
            </w:r>
          </w:p>
        </w:tc>
      </w:tr>
      <w:tr>
        <w:trPr>
          <w:cantSplit/>
        </w:trPr>
        <w:tc>
          <w:tcPr>
            <w:tcW w:type="dxa" w:w="3137"/>
          </w:tcPr>
          <w:p>
            <w:r>
              <w:t>E5 Identificar las variables.</w:t>
            </w:r>
          </w:p>
        </w:tc>
        <w:tc>
          <w:tcPr>
            <w:tcW w:type="dxa" w:w="3137"/>
          </w:tcPr>
          <w:p>
            <w:r>
              <w:t>Se distinguen RSSI por cadena, ΔRSSI, SNR, códigos MCS y tasa DL reportada; el sistema es instrumento y producto tecnológico.</w:t>
            </w:r>
          </w:p>
        </w:tc>
        <w:tc>
          <w:tcPr>
            <w:tcW w:type="dxa" w:w="3137"/>
          </w:tcPr>
          <w:p>
            <w:r>
              <w:t>§3.5, Tabla I. Atendida en la versión auditada.</w:t>
            </w:r>
          </w:p>
        </w:tc>
      </w:tr>
      <w:tr>
        <w:trPr>
          <w:cantSplit/>
        </w:trPr>
        <w:tc>
          <w:tcPr>
            <w:tcW w:type="dxa" w:w="3137"/>
          </w:tcPr>
          <w:p>
            <w:r>
              <w:t>E6 Incorporar la hipótesis en la estructura.</w:t>
            </w:r>
          </w:p>
        </w:tc>
        <w:tc>
          <w:tcPr>
            <w:tcW w:type="dxa" w:w="3137"/>
          </w:tcPr>
          <w:p>
            <w:r>
              <w:t>Hipótesis general y formulación H0/H1 se articulan con una sección explícita de contrastación exploratoria.</w:t>
            </w:r>
          </w:p>
        </w:tc>
        <w:tc>
          <w:tcPr>
            <w:tcW w:type="dxa" w:w="3137"/>
          </w:tcPr>
          <w:p>
            <w:r>
              <w:t>Contenido; §1.6; §4.5–4.6. Atendida en la versión auditada.</w:t>
            </w:r>
          </w:p>
        </w:tc>
      </w:tr>
      <w:tr>
        <w:trPr>
          <w:cantSplit/>
        </w:trPr>
        <w:tc>
          <w:tcPr>
            <w:tcW w:type="dxa" w:w="3137"/>
          </w:tcPr>
          <w:p>
            <w:r>
              <w:t>E7 Respaldar con citas los párrafos que lo requieren.</w:t>
            </w:r>
          </w:p>
        </w:tc>
        <w:tc>
          <w:tcPr>
            <w:tcW w:type="dxa" w:w="3137"/>
          </w:tcPr>
          <w:p>
            <w:r>
              <w:t>Se revisan antecedentes y fundamentos; las fuentes usadas por resumen o metadatos se describen con ese alcance y no reciben resultados no verificados.</w:t>
            </w:r>
          </w:p>
        </w:tc>
        <w:tc>
          <w:tcPr>
            <w:tcW w:type="dxa" w:w="3137"/>
          </w:tcPr>
          <w:p>
            <w:r>
              <w:t>§2.1–2.2; §3.1 y §3.4; referencias. Atendida en la versión auditada.</w:t>
            </w:r>
          </w:p>
        </w:tc>
      </w:tr>
      <w:tr>
        <w:trPr>
          <w:cantSplit/>
        </w:trPr>
        <w:tc>
          <w:tcPr>
            <w:tcW w:type="dxa" w:w="3137"/>
          </w:tcPr>
          <w:p>
            <w:r>
              <w:t>E8 Relacionar la operacionalización con las variables.</w:t>
            </w:r>
          </w:p>
        </w:tc>
        <w:tc>
          <w:tcPr>
            <w:tcW w:type="dxa" w:w="3137"/>
          </w:tcPr>
          <w:p>
            <w:r>
              <w:t>La Tabla I identifica campo, transformación, unidad, escala y técnica. No equipara el código MCS a una escala física uniforme ni la tasa a capacidad.</w:t>
            </w:r>
          </w:p>
        </w:tc>
        <w:tc>
          <w:tcPr>
            <w:tcW w:type="dxa" w:w="3137"/>
          </w:tcPr>
          <w:p>
            <w:r>
              <w:t>§3.5, Tabla I; Anexo 2, Tabla X. Atendida en la versión auditada.</w:t>
            </w:r>
          </w:p>
        </w:tc>
      </w:tr>
    </w:tbl>
    <w:p>
      <w:pPr>
        <w:pStyle w:val="Heading2"/>
      </w:pPr>
      <w:r>
        <w:t>Manuel E. Malpica Rodríguez: cinco observaciones</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Observación</w:t>
            </w:r>
          </w:p>
        </w:tc>
        <w:tc>
          <w:tcPr>
            <w:tcW w:type="dxa" w:w="3137"/>
          </w:tcPr>
          <w:p>
            <w:r>
              <w:rPr>
                <w:b/>
              </w:rPr>
              <w:t>Acción y comprobación</w:t>
            </w:r>
          </w:p>
        </w:tc>
        <w:tc>
          <w:tcPr>
            <w:tcW w:type="dxa" w:w="3137"/>
          </w:tcPr>
          <w:p>
            <w:r>
              <w:rPr>
                <w:b/>
              </w:rPr>
              <w:t>Ubicación / estado</w:t>
            </w:r>
          </w:p>
        </w:tc>
      </w:tr>
      <w:tr>
        <w:trPr>
          <w:cantSplit/>
        </w:trPr>
        <w:tc>
          <w:tcPr>
            <w:tcW w:type="dxa" w:w="3137"/>
          </w:tcPr>
          <w:p>
            <w:r>
              <w:t>M1 Corregir las observaciones internas del documento.</w:t>
            </w:r>
          </w:p>
        </w:tc>
        <w:tc>
          <w:tcPr>
            <w:tcW w:type="dxa" w:w="3137"/>
          </w:tcPr>
          <w:p>
            <w:r>
              <w:t>Se revisan los nueve comentarios de revisión presentes en la versión recibida. Se depuran notas desactualizadas al contrastarlas con los cotejos, referencias y límites actuales.</w:t>
            </w:r>
          </w:p>
        </w:tc>
        <w:tc>
          <w:tcPr>
            <w:tcW w:type="dxa" w:w="3137"/>
          </w:tcPr>
          <w:p>
            <w:r>
              <w:t>Texto final; registro de revisión conservado en la auditoría de edición. Atendida en la versión auditada.</w:t>
            </w:r>
          </w:p>
        </w:tc>
      </w:tr>
      <w:tr>
        <w:trPr>
          <w:cantSplit/>
        </w:trPr>
        <w:tc>
          <w:tcPr>
            <w:tcW w:type="dxa" w:w="3137"/>
          </w:tcPr>
          <w:p>
            <w:r>
              <w:t>M2 Verificar consistencia entre título, objetivos, preguntas e hipótesis.</w:t>
            </w:r>
          </w:p>
        </w:tc>
        <w:tc>
          <w:tcPr>
            <w:tcW w:type="dxa" w:w="3137"/>
          </w:tcPr>
          <w:p>
            <w:r>
              <w:t>Se coteja la correspondencia entre capítulo I y matriz; se conserva una hipótesis general del componente correlacional.</w:t>
            </w:r>
          </w:p>
        </w:tc>
        <w:tc>
          <w:tcPr>
            <w:tcW w:type="dxa" w:w="3137"/>
          </w:tcPr>
          <w:p>
            <w:r>
              <w:t>Portada; §1.2, §1.5–1.6; §3.6, Tabla II. Atendida en la versión auditada.</w:t>
            </w:r>
          </w:p>
        </w:tc>
      </w:tr>
      <w:tr>
        <w:trPr>
          <w:cantSplit/>
        </w:trPr>
        <w:tc>
          <w:tcPr>
            <w:tcW w:type="dxa" w:w="3137"/>
          </w:tcPr>
          <w:p>
            <w:r>
              <w:t>M3 Ajustar al alcance descriptivo-correlacional.</w:t>
            </w:r>
          </w:p>
        </w:tc>
        <w:tc>
          <w:tcPr>
            <w:tcW w:type="dxa" w:w="3137"/>
          </w:tcPr>
          <w:p>
            <w:r>
              <w:t>El diseño es observacional, no experimental y longitudinal. Las asociaciones no se interpretan como causalidad ni como confirmación inferencial general.</w:t>
            </w:r>
          </w:p>
        </w:tc>
        <w:tc>
          <w:tcPr>
            <w:tcW w:type="dxa" w:w="3137"/>
          </w:tcPr>
          <w:p>
            <w:r>
              <w:t>§1.4; §3.1; §4.5; §5.5; conclusiones. Atendida en la versión auditada.</w:t>
            </w:r>
          </w:p>
        </w:tc>
      </w:tr>
      <w:tr>
        <w:trPr>
          <w:cantSplit/>
        </w:trPr>
        <w:tc>
          <w:tcPr>
            <w:tcW w:type="dxa" w:w="3137"/>
          </w:tcPr>
          <w:p>
            <w:r>
              <w:t>M4 Enfatizar la implementación del sistema y el análisis.</w:t>
            </w:r>
          </w:p>
        </w:tc>
        <w:tc>
          <w:tcPr>
            <w:tcW w:type="dxa" w:w="3137"/>
          </w:tcPr>
          <w:p>
            <w:r>
              <w:t>Se describen consultas, scripts, CSV, canonización, procesamiento, repositorio versionado y resultados reproducidos.</w:t>
            </w:r>
          </w:p>
        </w:tc>
        <w:tc>
          <w:tcPr>
            <w:tcW w:type="dxa" w:w="3137"/>
          </w:tcPr>
          <w:p>
            <w:r>
              <w:t>§3.3–3.4; §4.1–4.2; Anexos 1, 6 y 7. Atendida en la versión auditada.</w:t>
            </w:r>
          </w:p>
        </w:tc>
      </w:tr>
      <w:tr>
        <w:trPr>
          <w:cantSplit/>
        </w:trPr>
        <w:tc>
          <w:tcPr>
            <w:tcW w:type="dxa" w:w="3137"/>
          </w:tcPr>
          <w:p>
            <w:r>
              <w:t>M5 Revisar técnica e instrumento, validación y confiabilidad.</w:t>
            </w:r>
          </w:p>
        </w:tc>
        <w:tc>
          <w:tcPr>
            <w:tcW w:type="dxa" w:w="3137"/>
          </w:tcPr>
          <w:p>
            <w:r>
              <w:t>Se diferencia observación automatizada, sistema de adquisición y fuente de medición. El cotejo de 21 438 campos, las pruebas y los manifiestos respaldan el alcance retrospectivo.</w:t>
            </w:r>
          </w:p>
        </w:tc>
        <w:tc>
          <w:tcPr>
            <w:tcW w:type="dxa" w:w="3137"/>
          </w:tcPr>
          <w:p>
            <w:r>
              <w:t>§3.3; Anexos 2, 3, 4 y 7. Atendida en la versión auditada.</w:t>
            </w:r>
          </w:p>
        </w:tc>
      </w:tr>
    </w:tbl>
    <w:p>
      <w:pPr>
        <w:pStyle w:val="Heading2"/>
      </w:pPr>
      <w:r>
        <w:t>Manuel Roberto Azahuanche Oliva: dos observaciones</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Observación</w:t>
            </w:r>
          </w:p>
        </w:tc>
        <w:tc>
          <w:tcPr>
            <w:tcW w:type="dxa" w:w="3137"/>
          </w:tcPr>
          <w:p>
            <w:r>
              <w:rPr>
                <w:b/>
              </w:rPr>
              <w:t>Acción y comprobación</w:t>
            </w:r>
          </w:p>
        </w:tc>
        <w:tc>
          <w:tcPr>
            <w:tcW w:type="dxa" w:w="3137"/>
          </w:tcPr>
          <w:p>
            <w:r>
              <w:rPr>
                <w:b/>
              </w:rPr>
              <w:t>Ubicación / estado</w:t>
            </w:r>
          </w:p>
        </w:tc>
      </w:tr>
      <w:tr>
        <w:trPr>
          <w:cantSplit/>
        </w:trPr>
        <w:tc>
          <w:tcPr>
            <w:tcW w:type="dxa" w:w="3137"/>
          </w:tcPr>
          <w:p>
            <w:r>
              <w:t>R1 Agregar índice de abreviaturas y siglas.</w:t>
            </w:r>
          </w:p>
        </w:tc>
        <w:tc>
          <w:tcPr>
            <w:tcW w:type="dxa" w:w="3137"/>
          </w:tcPr>
          <w:p>
            <w:r>
              <w:t>Se incorporan 32 siglas y una lista complementaria de símbolos, unidades y convenciones, con entrada en el contenido.</w:t>
            </w:r>
          </w:p>
        </w:tc>
        <w:tc>
          <w:tcPr>
            <w:tcW w:type="dxa" w:w="3137"/>
          </w:tcPr>
          <w:p>
            <w:r>
              <w:t>Preliminares: Índice de abreviaturas y siglas; Símbolos, unidades y convenciones. Atendida en la versión auditada.</w:t>
            </w:r>
          </w:p>
        </w:tc>
      </w:tr>
      <w:tr>
        <w:trPr>
          <w:cantSplit/>
        </w:trPr>
        <w:tc>
          <w:tcPr>
            <w:tcW w:type="dxa" w:w="3137"/>
          </w:tcPr>
          <w:p>
            <w:r>
              <w:t>R2 Definir hipótesis y contrastación en el índice y contenido.</w:t>
            </w:r>
          </w:p>
        </w:tc>
        <w:tc>
          <w:tcPr>
            <w:tcW w:type="dxa" w:w="3137"/>
          </w:tcPr>
          <w:p>
            <w:r>
              <w:t>El apartado 1.6 formula la hipótesis y explicita H0/H1; el 4.5 se denomina Contrastación exploratoria de la hipótesis de investigación. Se identifica la decisión y se remite a la sensibilidad temporal.</w:t>
            </w:r>
          </w:p>
        </w:tc>
        <w:tc>
          <w:tcPr>
            <w:tcW w:type="dxa" w:w="3137"/>
          </w:tcPr>
          <w:p>
            <w:r>
              <w:t>Contenido; §1.6; §4.5–4.6; Anexo 7. Atendida en la versión auditada.</w:t>
            </w:r>
          </w:p>
        </w:tc>
      </w:tr>
    </w:tbl>
    <w:p>
      <w:r>
        <w:t>La conformidad de cada jurado se solicita mediante carta individual; no se presume otorgada por esta auditoría. Las observaciones de otra tesis usadas como refuerzo metodológico no se atribuyen a Ena, Manuel o Roberto.</w:t>
      </w:r>
    </w:p>
    <w:p>
      <w:pPr>
        <w:pStyle w:val="Heading1"/>
      </w:pPr>
      <w:r>
        <w:t>5. Trazabilidad de las precisiones fotográficas</w:t>
      </w:r>
    </w:p>
    <w:p>
      <w:pPr>
        <w:pStyle w:val="Heading2"/>
      </w:pPr>
      <w:r>
        <w:t>Ena Cacho</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Código</w:t>
            </w:r>
          </w:p>
        </w:tc>
        <w:tc>
          <w:tcPr>
            <w:tcW w:type="dxa" w:w="3137"/>
          </w:tcPr>
          <w:p>
            <w:r>
              <w:rPr>
                <w:b/>
              </w:rPr>
              <w:t>Precisión y acción conservada</w:t>
            </w:r>
          </w:p>
        </w:tc>
        <w:tc>
          <w:tcPr>
            <w:tcW w:type="dxa" w:w="3137"/>
          </w:tcPr>
          <w:p>
            <w:r>
              <w:rPr>
                <w:b/>
              </w:rPr>
              <w:t>Verificación</w:t>
            </w:r>
          </w:p>
        </w:tc>
      </w:tr>
      <w:tr>
        <w:trPr>
          <w:cantSplit/>
        </w:trPr>
        <w:tc>
          <w:tcPr>
            <w:tcW w:type="dxa" w:w="3137"/>
          </w:tcPr>
          <w:p>
            <w:r>
              <w:t>EF1</w:t>
            </w:r>
          </w:p>
        </w:tc>
        <w:tc>
          <w:tcPr>
            <w:tcW w:type="dxa" w:w="3137"/>
          </w:tcPr>
          <w:p>
            <w:r>
              <w:t>Pregunta general corta. Se abrevia la pregunta conservando implementación, verificación, ΔRSSI, asociación y contexto del enlace. Ubicación: §1.2 y Tabla II.</w:t>
            </w:r>
          </w:p>
        </w:tc>
        <w:tc>
          <w:tcPr>
            <w:tcW w:type="dxa" w:w="3137"/>
          </w:tcPr>
          <w:p>
            <w:r>
              <w:t>Comprobada en los apartados indicados.</w:t>
            </w:r>
          </w:p>
        </w:tc>
      </w:tr>
      <w:tr>
        <w:trPr>
          <w:cantSplit/>
        </w:trPr>
        <w:tc>
          <w:tcPr>
            <w:tcW w:type="dxa" w:w="3137"/>
          </w:tcPr>
          <w:p>
            <w:r>
              <w:t>EF2</w:t>
            </w:r>
          </w:p>
        </w:tc>
        <w:tc>
          <w:tcPr>
            <w:tcW w:type="dxa" w:w="3137"/>
          </w:tcPr>
          <w:p>
            <w:r>
              <w:t>Por qué usar Pearson y Spearman y sus resultados. Se justifica su complementariedad lineal y monotónica. Se conservan coeficientes y su interpretación exploratoria. Ubicación: §3.4; §4.4–4.6; resumen.</w:t>
            </w:r>
          </w:p>
        </w:tc>
        <w:tc>
          <w:tcPr>
            <w:tcW w:type="dxa" w:w="3137"/>
          </w:tcPr>
          <w:p>
            <w:r>
              <w:t>Comprobada en los apartados indicados.</w:t>
            </w:r>
          </w:p>
        </w:tc>
      </w:tr>
      <w:tr>
        <w:trPr>
          <w:cantSplit/>
        </w:trPr>
        <w:tc>
          <w:tcPr>
            <w:tcW w:type="dxa" w:w="3137"/>
          </w:tcPr>
          <w:p>
            <w:r>
              <w:t>EF3</w:t>
            </w:r>
          </w:p>
        </w:tc>
        <w:tc>
          <w:tcPr>
            <w:tcW w:type="dxa" w:w="3137"/>
          </w:tcPr>
          <w:p>
            <w:r>
              <w:t>Marcas en objetivo y diseño del resumen. Se comprueba coherencia del objetivo de implementación y verificación y del diseño no experimental longitudinal con el capítulo III. Ubicación: Resumen; Abstract; §1.5 y §3.1.</w:t>
            </w:r>
          </w:p>
        </w:tc>
        <w:tc>
          <w:tcPr>
            <w:tcW w:type="dxa" w:w="3137"/>
          </w:tcPr>
          <w:p>
            <w:r>
              <w:t>Comprobada en los apartados indicados.</w:t>
            </w:r>
          </w:p>
        </w:tc>
      </w:tr>
      <w:tr>
        <w:trPr>
          <w:cantSplit/>
        </w:trPr>
        <w:tc>
          <w:tcPr>
            <w:tcW w:type="dxa" w:w="3137"/>
          </w:tcPr>
          <w:p>
            <w:r>
              <w:t>EF4</w:t>
            </w:r>
          </w:p>
        </w:tc>
        <w:tc>
          <w:tcPr>
            <w:tcW w:type="dxa" w:w="3137"/>
          </w:tcPr>
          <w:p>
            <w:r>
              <w:t>Tablas y figuras en IEEE. Se uniforman los títulos de tablas con numeración romana sobre la tabla y los pies de figuras con numeración arábiga debajo. Ubicación: Tablas I–XIII y Figuras 1–8.</w:t>
            </w:r>
          </w:p>
        </w:tc>
        <w:tc>
          <w:tcPr>
            <w:tcW w:type="dxa" w:w="3137"/>
          </w:tcPr>
          <w:p>
            <w:r>
              <w:t>Comprobada en los apartados indicados.</w:t>
            </w:r>
          </w:p>
        </w:tc>
      </w:tr>
      <w:tr>
        <w:trPr>
          <w:cantSplit/>
        </w:trPr>
        <w:tc>
          <w:tcPr>
            <w:tcW w:type="dxa" w:w="3137"/>
          </w:tcPr>
          <w:p>
            <w:r>
              <w:t>EF5</w:t>
            </w:r>
          </w:p>
        </w:tc>
        <w:tc>
          <w:tcPr>
            <w:tcW w:type="dxa" w:w="3137"/>
          </w:tcPr>
          <w:p>
            <w:r>
              <w:t>Vacíos en las Figuras 3 y 4. Se reconstruyen ambas figuras con medianas horarias y cortes sin interpolación. Se explicita la cobertura mensual y se distingue ausencia de fechas de ausencias intradiarias. Ubicación: §4.3, Figuras 3–4; §5.5.</w:t>
            </w:r>
          </w:p>
        </w:tc>
        <w:tc>
          <w:tcPr>
            <w:tcW w:type="dxa" w:w="3137"/>
          </w:tcPr>
          <w:p>
            <w:r>
              <w:t>Comprobada en los apartados indicados.</w:t>
            </w:r>
          </w:p>
        </w:tc>
      </w:tr>
    </w:tbl>
    <w:p>
      <w:pPr>
        <w:pStyle w:val="Heading2"/>
      </w:pPr>
      <w:r>
        <w:t>Manuel E. Malpica Rodríguez</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Código</w:t>
            </w:r>
          </w:p>
        </w:tc>
        <w:tc>
          <w:tcPr>
            <w:tcW w:type="dxa" w:w="3137"/>
          </w:tcPr>
          <w:p>
            <w:r>
              <w:rPr>
                <w:b/>
              </w:rPr>
              <w:t>Precisión y acción conservada</w:t>
            </w:r>
          </w:p>
        </w:tc>
        <w:tc>
          <w:tcPr>
            <w:tcW w:type="dxa" w:w="3137"/>
          </w:tcPr>
          <w:p>
            <w:r>
              <w:rPr>
                <w:b/>
              </w:rPr>
              <w:t>Verificación</w:t>
            </w:r>
          </w:p>
        </w:tc>
      </w:tr>
      <w:tr>
        <w:trPr>
          <w:cantSplit/>
        </w:trPr>
        <w:tc>
          <w:tcPr>
            <w:tcW w:type="dxa" w:w="3137"/>
          </w:tcPr>
          <w:p>
            <w:r>
              <w:t>MF1</w:t>
            </w:r>
          </w:p>
        </w:tc>
        <w:tc>
          <w:tcPr>
            <w:tcW w:type="dxa" w:w="3137"/>
          </w:tcPr>
          <w:p>
            <w:r>
              <w:t>Título, problema y objetivo general. Se mantiene la implementación y verificación del sistema como componente tecnológico y el análisis del ΔRSSI como componente descriptivo-correlacional. La pregunta y la matriz conservan esa correspondencia. Ubicación: Portada; §1.1–1.2; §1.5; Tabla II. La carátula sigue el modelo institucional proporcionado: denominación del título profesional, nombres del asesor y ciudad y año.</w:t>
            </w:r>
          </w:p>
        </w:tc>
        <w:tc>
          <w:tcPr>
            <w:tcW w:type="dxa" w:w="3137"/>
          </w:tcPr>
          <w:p>
            <w:r>
              <w:t>Comprobada en los apartados indicados.</w:t>
            </w:r>
          </w:p>
        </w:tc>
      </w:tr>
      <w:tr>
        <w:trPr>
          <w:cantSplit/>
        </w:trPr>
        <w:tc>
          <w:tcPr>
            <w:tcW w:type="dxa" w:w="3137"/>
          </w:tcPr>
          <w:p>
            <w:r>
              <w:t>MF2</w:t>
            </w:r>
          </w:p>
        </w:tc>
        <w:tc>
          <w:tcPr>
            <w:tcW w:type="dxa" w:w="3137"/>
          </w:tcPr>
          <w:p>
            <w:r>
              <w:t>Problema explícito en el resumen. Se explicita la necesidad de telemetría estructurada y trazable; el objetivo, diseño, resultados y conclusión conservan su correspondencia en ambos idiomas. Ubicación: Resumen y Abstract.</w:t>
            </w:r>
          </w:p>
        </w:tc>
        <w:tc>
          <w:tcPr>
            <w:tcW w:type="dxa" w:w="3137"/>
          </w:tcPr>
          <w:p>
            <w:r>
              <w:t>Comprobada en los apartados indicados.</w:t>
            </w:r>
          </w:p>
        </w:tc>
      </w:tr>
      <w:tr>
        <w:trPr>
          <w:cantSplit/>
        </w:trPr>
        <w:tc>
          <w:tcPr>
            <w:tcW w:type="dxa" w:w="3137"/>
          </w:tcPr>
          <w:p>
            <w:r>
              <w:t>MF3</w:t>
            </w:r>
          </w:p>
        </w:tc>
        <w:tc>
          <w:tcPr>
            <w:tcW w:type="dxa" w:w="3137"/>
          </w:tcPr>
          <w:p>
            <w:r>
              <w:t>Justificación y alcance. Se diferencian aporte empírico, utilidad de registros y procedimiento reproducible; el alcance se limita al enlace y a los datos observados. Ubicación: §1.3–1.4.</w:t>
            </w:r>
          </w:p>
        </w:tc>
        <w:tc>
          <w:tcPr>
            <w:tcW w:type="dxa" w:w="3137"/>
          </w:tcPr>
          <w:p>
            <w:r>
              <w:t>Comprobada en los apartados indicados.</w:t>
            </w:r>
          </w:p>
        </w:tc>
      </w:tr>
      <w:tr>
        <w:trPr>
          <w:cantSplit/>
        </w:trPr>
        <w:tc>
          <w:tcPr>
            <w:tcW w:type="dxa" w:w="3137"/>
          </w:tcPr>
          <w:p>
            <w:r>
              <w:t>MF4</w:t>
            </w:r>
          </w:p>
        </w:tc>
        <w:tc>
          <w:tcPr>
            <w:tcW w:type="dxa" w:w="3137"/>
          </w:tcPr>
          <w:p>
            <w:r>
              <w:t>Objetivos específicos y resultados. Los cinco objetivos cuentan con preguntas correspondientes y resultados de implementación, RSSI, ΔRSSI, asociaciones e interpretación física acotada. Ubicación: §1.2 y §1.5; §4.1–4.6; conclusiones.</w:t>
            </w:r>
          </w:p>
        </w:tc>
        <w:tc>
          <w:tcPr>
            <w:tcW w:type="dxa" w:w="3137"/>
          </w:tcPr>
          <w:p>
            <w:r>
              <w:t>Comprobada en los apartados indicados.</w:t>
            </w:r>
          </w:p>
        </w:tc>
      </w:tr>
      <w:tr>
        <w:trPr>
          <w:cantSplit/>
        </w:trPr>
        <w:tc>
          <w:tcPr>
            <w:tcW w:type="dxa" w:w="3137"/>
          </w:tcPr>
          <w:p>
            <w:r>
              <w:t>MF5</w:t>
            </w:r>
          </w:p>
        </w:tc>
        <w:tc>
          <w:tcPr>
            <w:tcW w:type="dxa" w:w="3137"/>
          </w:tcPr>
          <w:p>
            <w:r>
              <w:t>Teorías para implementar el sistema. Se conecta el fundamento radioeléctrico con consultas SSH, extracción, marcas temporales, registros canónicos y verificación computacional. Ubicación: §2.2.7; §3.3; §4.1; Anexo 7.</w:t>
            </w:r>
          </w:p>
        </w:tc>
        <w:tc>
          <w:tcPr>
            <w:tcW w:type="dxa" w:w="3137"/>
          </w:tcPr>
          <w:p>
            <w:r>
              <w:t>Comprobada en los apartados indicados.</w:t>
            </w:r>
          </w:p>
        </w:tc>
      </w:tr>
      <w:tr>
        <w:trPr>
          <w:cantSplit/>
        </w:trPr>
        <w:tc>
          <w:tcPr>
            <w:tcW w:type="dxa" w:w="3137"/>
          </w:tcPr>
          <w:p>
            <w:r>
              <w:t>MF6</w:t>
            </w:r>
          </w:p>
        </w:tc>
        <w:tc>
          <w:tcPr>
            <w:tcW w:type="dxa" w:w="3137"/>
          </w:tcPr>
          <w:p>
            <w:r>
              <w:t>Diseño y método. Se distingue desarrollo de la herramienta del análisis observacional longitudinal. La reparación operativa no se interpreta como tratamiento experimental. Ubicación: §3.1.3–3.1.5.</w:t>
            </w:r>
          </w:p>
        </w:tc>
        <w:tc>
          <w:tcPr>
            <w:tcW w:type="dxa" w:w="3137"/>
          </w:tcPr>
          <w:p>
            <w:r>
              <w:t>Comprobada en los apartados indicados.</w:t>
            </w:r>
          </w:p>
        </w:tc>
      </w:tr>
      <w:tr>
        <w:trPr>
          <w:cantSplit/>
        </w:trPr>
        <w:tc>
          <w:tcPr>
            <w:tcW w:type="dxa" w:w="3137"/>
          </w:tcPr>
          <w:p>
            <w:r>
              <w:t>MF7</w:t>
            </w:r>
          </w:p>
        </w:tc>
        <w:tc>
          <w:tcPr>
            <w:tcW w:type="dxa" w:w="3137"/>
          </w:tcPr>
          <w:p>
            <w:r>
              <w:t>Periodo, población y unidad de análisis. Se conservan 90 fechas en 126 días calendario y una observación canónica por instante; se distinguen filas crudas, pares válidos e intervalos horarios. Ubicación: §3.2; §4.2–4.3; Anexo 3.</w:t>
            </w:r>
          </w:p>
        </w:tc>
        <w:tc>
          <w:tcPr>
            <w:tcW w:type="dxa" w:w="3137"/>
          </w:tcPr>
          <w:p>
            <w:r>
              <w:t>Comprobada en los apartados indicados.</w:t>
            </w:r>
          </w:p>
        </w:tc>
      </w:tr>
      <w:tr>
        <w:trPr>
          <w:cantSplit/>
        </w:trPr>
        <w:tc>
          <w:tcPr>
            <w:tcW w:type="dxa" w:w="3137"/>
          </w:tcPr>
          <w:p>
            <w:r>
              <w:t>MF8</w:t>
            </w:r>
          </w:p>
        </w:tc>
        <w:tc>
          <w:tcPr>
            <w:tcW w:type="dxa" w:w="3137"/>
          </w:tcPr>
          <w:p>
            <w:r>
              <w:t>Técnica, instrumento y análisis. Se diferencia observación automatizada, sistema de adquisición y procesamiento estadístico; ΔRSSI se define como diferencia absoluta de RSSI primarios. Ubicación: §3.3–3.5; Tabla I.</w:t>
            </w:r>
          </w:p>
        </w:tc>
        <w:tc>
          <w:tcPr>
            <w:tcW w:type="dxa" w:w="3137"/>
          </w:tcPr>
          <w:p>
            <w:r>
              <w:t>Comprobada en los apartados indicados.</w:t>
            </w:r>
          </w:p>
        </w:tc>
      </w:tr>
      <w:tr>
        <w:trPr>
          <w:cantSplit/>
        </w:trPr>
        <w:tc>
          <w:tcPr>
            <w:tcW w:type="dxa" w:w="3137"/>
          </w:tcPr>
          <w:p>
            <w:r>
              <w:t>MF9</w:t>
            </w:r>
          </w:p>
        </w:tc>
        <w:tc>
          <w:tcPr>
            <w:tcW w:type="dxa" w:w="3137"/>
          </w:tcPr>
          <w:p>
            <w:r>
              <w:t>Variables e hipótesis. ΔRSSI se mantiene como variable de referencia asociativa; las métricas no reciben una interpretación causal. La hipótesis corresponde al componente correlacional y se contrasta de forma exploratoria. Ubicación: §1.6; §3.5–3.6; Tabla II; §4.5.</w:t>
            </w:r>
          </w:p>
        </w:tc>
        <w:tc>
          <w:tcPr>
            <w:tcW w:type="dxa" w:w="3137"/>
          </w:tcPr>
          <w:p>
            <w:r>
              <w:t>Comprobada en los apartados indicados.</w:t>
            </w:r>
          </w:p>
        </w:tc>
      </w:tr>
      <w:tr>
        <w:trPr>
          <w:cantSplit/>
        </w:trPr>
        <w:tc>
          <w:tcPr>
            <w:tcW w:type="dxa" w:w="3137"/>
          </w:tcPr>
          <w:p>
            <w:r>
              <w:t>MF10</w:t>
            </w:r>
          </w:p>
        </w:tc>
        <w:tc>
          <w:tcPr>
            <w:tcW w:type="dxa" w:w="3137"/>
          </w:tcPr>
          <w:p>
            <w:r>
              <w:t>Formato IEEE y terminología. Se conservan citas numeradas, títulos de tablas y pies de figuras uniformes; siglas y símbolos cuentan con listas y definiciones. Ubicación: Preliminares; capítulos II–IV; referencias.</w:t>
            </w:r>
          </w:p>
        </w:tc>
        <w:tc>
          <w:tcPr>
            <w:tcW w:type="dxa" w:w="3137"/>
          </w:tcPr>
          <w:p>
            <w:r>
              <w:t>Comprobada en los apartados indicados.</w:t>
            </w:r>
          </w:p>
        </w:tc>
      </w:tr>
      <w:tr>
        <w:trPr>
          <w:cantSplit/>
        </w:trPr>
        <w:tc>
          <w:tcPr>
            <w:tcW w:type="dxa" w:w="3137"/>
          </w:tcPr>
          <w:p>
            <w:r>
              <w:t>MF11</w:t>
            </w:r>
          </w:p>
        </w:tc>
        <w:tc>
          <w:tcPr>
            <w:tcW w:type="dxa" w:w="3137"/>
          </w:tcPr>
          <w:p>
            <w:r>
              <w:t>Validación del instrumento. Se identifican sistema, fuente de datos, cotejo CLI–CSV, controles del extractor, reproducción de los 90 archivos y fichas de especialistas. Ubicación: §3.3; §4.1; Anexos 2–7.</w:t>
            </w:r>
          </w:p>
        </w:tc>
        <w:tc>
          <w:tcPr>
            <w:tcW w:type="dxa" w:w="3137"/>
          </w:tcPr>
          <w:p>
            <w:r>
              <w:t>Comprobada en los apartados indicados.</w:t>
            </w:r>
          </w:p>
        </w:tc>
      </w:tr>
      <w:tr>
        <w:trPr>
          <w:cantSplit/>
        </w:trPr>
        <w:tc>
          <w:tcPr>
            <w:tcW w:type="dxa" w:w="3137"/>
          </w:tcPr>
          <w:p>
            <w:r>
              <w:t>MF12</w:t>
            </w:r>
          </w:p>
        </w:tc>
        <w:tc>
          <w:tcPr>
            <w:tcW w:type="dxa" w:w="3137"/>
          </w:tcPr>
          <w:p>
            <w:r>
              <w:t>Interrupciones y condiciones de acceso al sitio. Se incorpora el antecedente operativo comunicado por el asesor sobre desalineación y acceso diferido al sitio de aproximadamente 3 700 m s. n. m. Se conserva la cobertura verificada y su efecto sobre el alcance. Ubicación: §3.1.4; §4.3; §5.5; Anexo 3.</w:t>
            </w:r>
          </w:p>
        </w:tc>
        <w:tc>
          <w:tcPr>
            <w:tcW w:type="dxa" w:w="3137"/>
          </w:tcPr>
          <w:p>
            <w:r>
              <w:t>Comprobada en los apartados indicados.</w:t>
            </w:r>
          </w:p>
        </w:tc>
      </w:tr>
    </w:tbl>
    <w:p>
      <w:pPr>
        <w:pStyle w:val="Heading1"/>
      </w:pPr>
      <w:r>
        <w:t>6. Verificación numérica independiente</w:t>
      </w:r>
    </w:p>
    <w:tbl>
      <w:tblPr>
        <w:tblStyle w:val="TableGrid"/>
        <w:tblW w:type="auto" w:w="0"/>
        <w:tblLook w:firstColumn="1" w:firstRow="1" w:lastColumn="0" w:lastRow="0" w:noHBand="0" w:noVBand="1" w:val="04A0"/>
      </w:tblPr>
      <w:tblGrid>
        <w:gridCol w:w="4706"/>
        <w:gridCol w:w="4706"/>
      </w:tblGrid>
      <w:tr>
        <w:trPr>
          <w:tblHeader/>
          <w:cantSplit/>
        </w:trPr>
        <w:tc>
          <w:tcPr>
            <w:tcW w:type="dxa" w:w="4706"/>
          </w:tcPr>
          <w:p>
            <w:r>
              <w:rPr>
                <w:b/>
              </w:rPr>
              <w:t>Control</w:t>
            </w:r>
          </w:p>
        </w:tc>
        <w:tc>
          <w:tcPr>
            <w:tcW w:type="dxa" w:w="4706"/>
          </w:tcPr>
          <w:p>
            <w:r>
              <w:rPr>
                <w:b/>
              </w:rPr>
              <w:t>Resultado comprobado</w:t>
            </w:r>
          </w:p>
        </w:tc>
      </w:tr>
      <w:tr>
        <w:trPr>
          <w:cantSplit/>
        </w:trPr>
        <w:tc>
          <w:tcPr>
            <w:tcW w:type="dxa" w:w="4706"/>
          </w:tcPr>
          <w:p>
            <w:r>
              <w:t>Archivo de entrada</w:t>
            </w:r>
          </w:p>
        </w:tc>
        <w:tc>
          <w:tcPr>
            <w:tcW w:type="dxa" w:w="4706"/>
          </w:tcPr>
          <w:p>
            <w:r>
              <w:t>Datos(2).zip; SHA-256 786a037e749ce0c5bf7b3d8bd66f419a0a76de809c68857534e03487fc922bfa</w:t>
            </w:r>
          </w:p>
        </w:tc>
      </w:tr>
      <w:tr>
        <w:trPr>
          <w:cantSplit/>
        </w:trPr>
        <w:tc>
          <w:tcPr>
            <w:tcW w:type="dxa" w:w="4706"/>
          </w:tcPr>
          <w:p>
            <w:r>
              <w:t>Archivos y filas</w:t>
            </w:r>
          </w:p>
        </w:tc>
        <w:tc>
          <w:tcPr>
            <w:tcW w:type="dxa" w:w="4706"/>
          </w:tcPr>
          <w:p>
            <w:r>
              <w:t>90 CSV; 347 036 filas crudas; 10 filas adicionales concordantes por duplicación.</w:t>
            </w:r>
          </w:p>
        </w:tc>
      </w:tr>
      <w:tr>
        <w:trPr>
          <w:cantSplit/>
        </w:trPr>
        <w:tc>
          <w:tcPr>
            <w:tcW w:type="dxa" w:w="4706"/>
          </w:tcPr>
          <w:p>
            <w:r>
              <w:t>Consolidación</w:t>
            </w:r>
          </w:p>
        </w:tc>
        <w:tc>
          <w:tcPr>
            <w:tcW w:type="dxa" w:w="4706"/>
          </w:tcPr>
          <w:p>
            <w:r>
              <w:t>173 513 marcas temporales; coincidencia AP/SM en los 12 campos compartidos, incluidos ausentes.</w:t>
            </w:r>
          </w:p>
        </w:tc>
      </w:tr>
      <w:tr>
        <w:trPr>
          <w:cantSplit/>
        </w:trPr>
        <w:tc>
          <w:tcPr>
            <w:tcW w:type="dxa" w:w="4706"/>
          </w:tcPr>
          <w:p>
            <w:r>
              <w:t>Cobertura</w:t>
            </w:r>
          </w:p>
        </w:tc>
        <w:tc>
          <w:tcPr>
            <w:tcW w:type="dxa" w:w="4706"/>
          </w:tcPr>
          <w:p>
            <w:r>
              <w:t>90 fechas dentro de 126 días calendario; las 1 989 horas completas pertenecen a 89 días.</w:t>
            </w:r>
          </w:p>
        </w:tc>
      </w:tr>
      <w:tr>
        <w:trPr>
          <w:cantSplit/>
        </w:trPr>
        <w:tc>
          <w:tcPr>
            <w:tcW w:type="dxa" w:w="4706"/>
          </w:tcPr>
          <w:p>
            <w:r>
              <w:t>ΔRSSI</w:t>
            </w:r>
          </w:p>
        </w:tc>
        <w:tc>
          <w:tcPr>
            <w:tcW w:type="dxa" w:w="4706"/>
          </w:tcPr>
          <w:p>
            <w:r>
              <w:t>164 740 pares primarios numéricos; media 9,7844178706 dB; mediana 11 dB; rango 0–20 dB.</w:t>
            </w:r>
          </w:p>
        </w:tc>
      </w:tr>
      <w:tr>
        <w:trPr>
          <w:cantSplit/>
        </w:trPr>
        <w:tc>
          <w:tcPr>
            <w:tcW w:type="dxa" w:w="4706"/>
          </w:tcPr>
          <w:p>
            <w:r>
              <w:t>Correlaciones</w:t>
            </w:r>
          </w:p>
        </w:tc>
        <w:tc>
          <w:tcPr>
            <w:tcW w:type="dxa" w:w="4706"/>
          </w:tcPr>
          <w:p>
            <w:r>
              <w:t>161 340 pares originales y 1 989 pares horarios en las cinco asociaciones. Concordancia con las tablas al redondear.</w:t>
            </w:r>
          </w:p>
        </w:tc>
      </w:tr>
      <w:tr>
        <w:trPr>
          <w:cantSplit/>
        </w:trPr>
        <w:tc>
          <w:tcPr>
            <w:tcW w:type="dxa" w:w="4706"/>
          </w:tcPr>
          <w:p>
            <w:r>
              <w:t>Tasa DL</w:t>
            </w:r>
          </w:p>
        </w:tc>
        <w:tc>
          <w:tcPr>
            <w:tcW w:type="dxa" w:w="4706"/>
          </w:tcPr>
          <w:p>
            <w:r>
              <w:t>r/ρ originales = 0,190326865/0,223912767; horarios = 0,392519575/0,492585178.</w:t>
            </w:r>
          </w:p>
        </w:tc>
      </w:tr>
      <w:tr>
        <w:trPr>
          <w:cantSplit/>
        </w:trPr>
        <w:tc>
          <w:tcPr>
            <w:tcW w:type="dxa" w:w="4706"/>
          </w:tcPr>
          <w:p>
            <w:r>
              <w:t>SNR UL</w:t>
            </w:r>
          </w:p>
        </w:tc>
        <w:tc>
          <w:tcPr>
            <w:tcW w:type="dxa" w:w="4706"/>
          </w:tcPr>
          <w:p>
            <w:r>
              <w:t>p nominal de Pearson horario = 0,072386524; se mantiene informado como 0,072.</w:t>
            </w:r>
          </w:p>
        </w:tc>
      </w:tr>
      <w:tr>
        <w:trPr>
          <w:cantSplit/>
        </w:trPr>
        <w:tc>
          <w:tcPr>
            <w:tcW w:type="dxa" w:w="4706"/>
          </w:tcPr>
          <w:p>
            <w:r>
              <w:t>Preservación</w:t>
            </w:r>
          </w:p>
        </w:tc>
        <w:tc>
          <w:tcPr>
            <w:tcW w:type="dxa" w:w="4706"/>
          </w:tcPr>
          <w:p>
            <w:r>
              <w:t>No se reescribieron los CSV históricos ni se reemplazaron por valores imputados.</w:t>
            </w:r>
          </w:p>
        </w:tc>
      </w:tr>
    </w:tbl>
    <w:tbl>
      <w:tblPr>
        <w:tblStyle w:val="TableGrid"/>
        <w:tblW w:type="auto" w:w="0"/>
        <w:tblLook w:firstColumn="1" w:firstRow="1" w:lastColumn="0" w:lastRow="0" w:noHBand="0" w:noVBand="1" w:val="04A0"/>
      </w:tblPr>
      <w:tblGrid>
        <w:gridCol w:w="1569"/>
        <w:gridCol w:w="1569"/>
        <w:gridCol w:w="1569"/>
        <w:gridCol w:w="1569"/>
        <w:gridCol w:w="1569"/>
        <w:gridCol w:w="1569"/>
      </w:tblGrid>
      <w:tr>
        <w:trPr>
          <w:tblHeader/>
          <w:cantSplit/>
        </w:trPr>
        <w:tc>
          <w:tcPr>
            <w:tcW w:type="dxa" w:w="1569"/>
          </w:tcPr>
          <w:p>
            <w:r>
              <w:rPr>
                <w:b/>
              </w:rPr>
              <w:t>Cadena</w:t>
            </w:r>
          </w:p>
        </w:tc>
        <w:tc>
          <w:tcPr>
            <w:tcW w:type="dxa" w:w="1569"/>
          </w:tcPr>
          <w:p>
            <w:r>
              <w:rPr>
                <w:b/>
              </w:rPr>
              <w:t>n válido</w:t>
            </w:r>
          </w:p>
        </w:tc>
        <w:tc>
          <w:tcPr>
            <w:tcW w:type="dxa" w:w="1569"/>
          </w:tcPr>
          <w:p>
            <w:r>
              <w:rPr>
                <w:b/>
              </w:rPr>
              <w:t>Media dBm</w:t>
            </w:r>
          </w:p>
        </w:tc>
        <w:tc>
          <w:tcPr>
            <w:tcW w:type="dxa" w:w="1569"/>
          </w:tcPr>
          <w:p>
            <w:r>
              <w:rPr>
                <w:b/>
              </w:rPr>
              <w:t>Mediana dBm</w:t>
            </w:r>
          </w:p>
        </w:tc>
        <w:tc>
          <w:tcPr>
            <w:tcW w:type="dxa" w:w="1569"/>
          </w:tcPr>
          <w:p>
            <w:r>
              <w:rPr>
                <w:b/>
              </w:rPr>
              <w:t>Q1–Q3 dBm</w:t>
            </w:r>
          </w:p>
        </w:tc>
        <w:tc>
          <w:tcPr>
            <w:tcW w:type="dxa" w:w="1569"/>
          </w:tcPr>
          <w:p>
            <w:r>
              <w:rPr>
                <w:b/>
              </w:rPr>
              <w:t>Rango dBm</w:t>
            </w:r>
          </w:p>
        </w:tc>
      </w:tr>
      <w:tr>
        <w:trPr>
          <w:cantSplit/>
        </w:trPr>
        <w:tc>
          <w:tcPr>
            <w:tcW w:type="dxa" w:w="1569"/>
          </w:tcPr>
          <w:p>
            <w:r>
              <w:t>Chain 0</w:t>
            </w:r>
          </w:p>
        </w:tc>
        <w:tc>
          <w:tcPr>
            <w:tcW w:type="dxa" w:w="1569"/>
          </w:tcPr>
          <w:p>
            <w:r>
              <w:t>171 116</w:t>
            </w:r>
          </w:p>
        </w:tc>
        <w:tc>
          <w:tcPr>
            <w:tcW w:type="dxa" w:w="1569"/>
          </w:tcPr>
          <w:p>
            <w:r>
              <w:t>−83,62</w:t>
            </w:r>
          </w:p>
        </w:tc>
        <w:tc>
          <w:tcPr>
            <w:tcW w:type="dxa" w:w="1569"/>
          </w:tcPr>
          <w:p>
            <w:r>
              <w:t>−82</w:t>
            </w:r>
          </w:p>
        </w:tc>
        <w:tc>
          <w:tcPr>
            <w:tcW w:type="dxa" w:w="1569"/>
          </w:tcPr>
          <w:p>
            <w:r>
              <w:t>−84 a −80</w:t>
            </w:r>
          </w:p>
        </w:tc>
        <w:tc>
          <w:tcPr>
            <w:tcW w:type="dxa" w:w="1569"/>
          </w:tcPr>
          <w:p>
            <w:r>
              <w:t>−100 a −64</w:t>
            </w:r>
          </w:p>
        </w:tc>
      </w:tr>
      <w:tr>
        <w:trPr>
          <w:cantSplit/>
        </w:trPr>
        <w:tc>
          <w:tcPr>
            <w:tcW w:type="dxa" w:w="1569"/>
          </w:tcPr>
          <w:p>
            <w:r>
              <w:t>Chain 1</w:t>
            </w:r>
          </w:p>
        </w:tc>
        <w:tc>
          <w:tcPr>
            <w:tcW w:type="dxa" w:w="1569"/>
          </w:tcPr>
          <w:p>
            <w:r>
              <w:t>165 363</w:t>
            </w:r>
          </w:p>
        </w:tc>
        <w:tc>
          <w:tcPr>
            <w:tcW w:type="dxa" w:w="1569"/>
          </w:tcPr>
          <w:p>
            <w:r>
              <w:t>−92,74</w:t>
            </w:r>
          </w:p>
        </w:tc>
        <w:tc>
          <w:tcPr>
            <w:tcW w:type="dxa" w:w="1569"/>
          </w:tcPr>
          <w:p>
            <w:r>
              <w:t>−93</w:t>
            </w:r>
          </w:p>
        </w:tc>
        <w:tc>
          <w:tcPr>
            <w:tcW w:type="dxa" w:w="1569"/>
          </w:tcPr>
          <w:p>
            <w:r>
              <w:t>−95 a −91</w:t>
            </w:r>
          </w:p>
        </w:tc>
        <w:tc>
          <w:tcPr>
            <w:tcW w:type="dxa" w:w="1569"/>
          </w:tcPr>
          <w:p>
            <w:r>
              <w:t>−99 a −66</w:t>
            </w:r>
          </w:p>
        </w:tc>
      </w:tr>
    </w:tbl>
    <w:p>
      <w:r>
        <w:t>Los resúmenes marginales de RSSI utilizan el conjunto válido de cada cadena. El ΔRSSI usa pares simultáneos válidos. Las distribuciones marginales no se restan para obtener la media del desbalance. Estos resultados se cotejaron con tabla_descriptivos.csv y se incorporaron en §4.3 y su conclusión.</w:t>
      </w:r>
    </w:p>
    <w:p>
      <w:r>
        <w:t>La sensibilidad por bloques de siete días conserva los intervalos del análisis previamente ejecutado: Spearman para tasa DL [0,369; 0,572] y para SNR UL [−0,149; 0,308], al 95 %. En esta auditoría se recalcularon los estadísticos y correlaciones principales; no se presenta como nuevo remuestreo la conservación del análisis por bloques ya documentado.</w:t>
      </w:r>
    </w:p>
    <w:p>
      <w:pPr>
        <w:pStyle w:val="Heading1"/>
      </w:pPr>
      <w:r>
        <w:t>7. Correcciones transversales aplicadas</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b/>
              </w:rPr>
              <w:t>Hallazgo</w:t>
            </w:r>
          </w:p>
        </w:tc>
        <w:tc>
          <w:tcPr>
            <w:tcW w:type="dxa" w:w="3137"/>
          </w:tcPr>
          <w:p>
            <w:r>
              <w:rPr>
                <w:b/>
              </w:rPr>
              <w:t>Corrección integrada</w:t>
            </w:r>
          </w:p>
        </w:tc>
        <w:tc>
          <w:tcPr>
            <w:tcW w:type="dxa" w:w="3137"/>
          </w:tcPr>
          <w:p>
            <w:r>
              <w:rPr>
                <w:b/>
              </w:rPr>
              <w:t>Ubicación</w:t>
            </w:r>
          </w:p>
        </w:tc>
      </w:tr>
      <w:tr>
        <w:trPr>
          <w:cantSplit/>
        </w:trPr>
        <w:tc>
          <w:tcPr>
            <w:tcW w:type="dxa" w:w="3137"/>
          </w:tcPr>
          <w:p>
            <w:r>
              <w:t>Respuesta incompleta a la distribución del RSSI.</w:t>
            </w:r>
          </w:p>
        </w:tc>
        <w:tc>
          <w:tcPr>
            <w:tcW w:type="dxa" w:w="3137"/>
          </w:tcPr>
          <w:p>
            <w:r>
              <w:t>Se incorporan n, media, mediana, cuartiles y rangos reproducidos.</w:t>
            </w:r>
          </w:p>
        </w:tc>
        <w:tc>
          <w:tcPr>
            <w:tcW w:type="dxa" w:w="3137"/>
          </w:tcPr>
          <w:p>
            <w:r>
              <w:t>Resumen/abstract; §4.3; §5.1; conclusión específica 2.</w:t>
            </w:r>
          </w:p>
        </w:tc>
      </w:tr>
      <w:tr>
        <w:trPr>
          <w:cantSplit/>
        </w:trPr>
        <w:tc>
          <w:tcPr>
            <w:tcW w:type="dxa" w:w="3137"/>
          </w:tcPr>
          <w:p>
            <w:r>
              <w:t>Citas ITU o de metodología general en fundamentos MIMO/RSSI/SNR.</w:t>
            </w:r>
          </w:p>
        </w:tc>
        <w:tc>
          <w:tcPr>
            <w:tcW w:type="dxa" w:w="3137"/>
          </w:tcPr>
          <w:p>
            <w:r>
              <w:t>Se sustituyen por referencias técnicas pertinentes; 26 referencias renumeradas por primera aparición.</w:t>
            </w:r>
          </w:p>
        </w:tc>
        <w:tc>
          <w:tcPr>
            <w:tcW w:type="dxa" w:w="3137"/>
          </w:tcPr>
          <w:p>
            <w:r>
              <w:t>§2.2.1–2.2.4; bibliografía.</w:t>
            </w:r>
          </w:p>
        </w:tc>
      </w:tr>
      <w:tr>
        <w:trPr>
          <w:cantSplit/>
        </w:trPr>
        <w:tc>
          <w:tcPr>
            <w:tcW w:type="dxa" w:w="3137"/>
          </w:tcPr>
          <w:p>
            <w:r>
              <w:t>Confusión entre throughput y goodput en términos básicos.</w:t>
            </w:r>
          </w:p>
        </w:tc>
        <w:tc>
          <w:tcPr>
            <w:tcW w:type="dxa" w:w="3137"/>
          </w:tcPr>
          <w:p>
            <w:r>
              <w:t>Se distingue capa/intervalo, datos útiles y tasa descendente reportada.</w:t>
            </w:r>
          </w:p>
        </w:tc>
        <w:tc>
          <w:tcPr>
            <w:tcW w:type="dxa" w:w="3137"/>
          </w:tcPr>
          <w:p>
            <w:r>
              <w:t>§2.3; Tablas III–IV.</w:t>
            </w:r>
          </w:p>
        </w:tc>
      </w:tr>
      <w:tr>
        <w:trPr>
          <w:cantSplit/>
        </w:trPr>
        <w:tc>
          <w:tcPr>
            <w:tcW w:type="dxa" w:w="3137"/>
          </w:tcPr>
          <w:p>
            <w:r>
              <w:t>Adquisición descrita como uniforme y siempre completa.</w:t>
            </w:r>
          </w:p>
        </w:tc>
        <w:tc>
          <w:tcPr>
            <w:tcW w:type="dxa" w:w="3137"/>
          </w:tcPr>
          <w:p>
            <w:r>
              <w:t>Se explicita cadencia variable, campos ausentes y cobertura de 90/126 fechas.</w:t>
            </w:r>
          </w:p>
        </w:tc>
        <w:tc>
          <w:tcPr>
            <w:tcW w:type="dxa" w:w="3137"/>
          </w:tcPr>
          <w:p>
            <w:r>
              <w:t>§1.4; §3.3; §4.1–4.3.</w:t>
            </w:r>
          </w:p>
        </w:tc>
      </w:tr>
      <w:tr>
        <w:trPr>
          <w:cantSplit/>
        </w:trPr>
        <w:tc>
          <w:tcPr>
            <w:tcW w:type="dxa" w:w="3137"/>
          </w:tcPr>
          <w:p>
            <w:r>
              <w:t>Bash/Python y acceso remoto descritos sin separar sus funciones.</w:t>
            </w:r>
          </w:p>
        </w:tc>
        <w:tc>
          <w:tcPr>
            <w:tcW w:type="dxa" w:w="3137"/>
          </w:tcPr>
          <w:p>
            <w:r>
              <w:t>Se distingue consulta/extracción/CSV de integración y análisis.</w:t>
            </w:r>
          </w:p>
        </w:tc>
        <w:tc>
          <w:tcPr>
            <w:tcW w:type="dxa" w:w="3137"/>
          </w:tcPr>
          <w:p>
            <w:r>
              <w:t>§3.3; resumen y abstract.</w:t>
            </w:r>
          </w:p>
        </w:tc>
      </w:tr>
      <w:tr>
        <w:trPr>
          <w:cantSplit/>
        </w:trPr>
        <w:tc>
          <w:tcPr>
            <w:tcW w:type="dxa" w:w="3137"/>
          </w:tcPr>
          <w:p>
            <w:r>
              <w:t>Reglas de depuración sin sus límites numéricos en el cuerpo.</w:t>
            </w:r>
          </w:p>
        </w:tc>
        <w:tc>
          <w:tcPr>
            <w:tcW w:type="dxa" w:w="3137"/>
          </w:tcPr>
          <w:p>
            <w:r>
              <w:t>Se documentan RSSI [−130; −20] dBm y SNR [−20; 80] dB como reglas del software.</w:t>
            </w:r>
          </w:p>
        </w:tc>
        <w:tc>
          <w:tcPr>
            <w:tcW w:type="dxa" w:w="3137"/>
          </w:tcPr>
          <w:p>
            <w:r>
              <w:t>§3.4.</w:t>
            </w:r>
          </w:p>
        </w:tc>
      </w:tr>
      <w:tr>
        <w:trPr>
          <w:cantSplit/>
        </w:trPr>
        <w:tc>
          <w:tcPr>
            <w:tcW w:type="dxa" w:w="3137"/>
          </w:tcPr>
          <w:p>
            <w:r>
              <w:t>Diez campos en el relato frente a doce en la comprobación completa.</w:t>
            </w:r>
          </w:p>
        </w:tc>
        <w:tc>
          <w:tcPr>
            <w:tcW w:type="dxa" w:w="3137"/>
          </w:tcPr>
          <w:p>
            <w:r>
              <w:t>Se informa el alcance completo de 12 campos compartidos.</w:t>
            </w:r>
          </w:p>
        </w:tc>
        <w:tc>
          <w:tcPr>
            <w:tcW w:type="dxa" w:w="3137"/>
          </w:tcPr>
          <w:p>
            <w:r>
              <w:t>§4.2; Anexo 7.</w:t>
            </w:r>
          </w:p>
        </w:tc>
      </w:tr>
      <w:tr>
        <w:trPr>
          <w:cantSplit/>
        </w:trPr>
        <w:tc>
          <w:tcPr>
            <w:tcW w:type="dxa" w:w="3137"/>
          </w:tcPr>
          <w:p>
            <w:r>
              <w:t>Comparación física y jerarquización de MCS sin escala verificada.</w:t>
            </w:r>
          </w:p>
        </w:tc>
        <w:tc>
          <w:tcPr>
            <w:tcW w:type="dxa" w:w="3137"/>
          </w:tcPr>
          <w:p>
            <w:r>
              <w:t>Se conserva como descripción de códigos; no se interpreta su orden como eficiencia validada.</w:t>
            </w:r>
          </w:p>
        </w:tc>
        <w:tc>
          <w:tcPr>
            <w:tcW w:type="dxa" w:w="3137"/>
          </w:tcPr>
          <w:p>
            <w:r>
              <w:t>§4.4–4.5; discusión.</w:t>
            </w:r>
          </w:p>
        </w:tc>
      </w:tr>
      <w:tr>
        <w:trPr>
          <w:cantSplit/>
        </w:trPr>
        <w:tc>
          <w:tcPr>
            <w:tcW w:type="dxa" w:w="3137"/>
          </w:tcPr>
          <w:p>
            <w:r>
              <w:t>Historia editorial dentro de los resultados.</w:t>
            </w:r>
          </w:p>
        </w:tc>
        <w:tc>
          <w:tcPr>
            <w:tcW w:type="dxa" w:w="3137"/>
          </w:tcPr>
          <w:p>
            <w:r>
              <w:t>Se conserva p = 0,072 sin relatar la versión anterior.</w:t>
            </w:r>
          </w:p>
        </w:tc>
        <w:tc>
          <w:tcPr>
            <w:tcW w:type="dxa" w:w="3137"/>
          </w:tcPr>
          <w:p>
            <w:r>
              <w:t>§4.5.</w:t>
            </w:r>
          </w:p>
        </w:tc>
      </w:tr>
      <w:tr>
        <w:trPr>
          <w:cantSplit/>
        </w:trPr>
        <w:tc>
          <w:tcPr>
            <w:tcW w:type="dxa" w:w="3137"/>
          </w:tcPr>
          <w:p>
            <w:r>
              <w:t>Futuro en el Anexo 2 frente a pruebas posteriores ya ejecutadas.</w:t>
            </w:r>
          </w:p>
        </w:tc>
        <w:tc>
          <w:tcPr>
            <w:tcW w:type="dxa" w:w="3137"/>
          </w:tcPr>
          <w:p>
            <w:r>
              <w:t>Se actualiza el tratamiento y se diferencia implementación, prueba controlada y ensayo real incompleto.</w:t>
            </w:r>
          </w:p>
        </w:tc>
        <w:tc>
          <w:tcPr>
            <w:tcW w:type="dxa" w:w="3137"/>
          </w:tcPr>
          <w:p>
            <w:r>
              <w:t>Anexo 2; Anexos 6–7.</w:t>
            </w:r>
          </w:p>
        </w:tc>
      </w:tr>
      <w:tr>
        <w:trPr>
          <w:cantSplit/>
        </w:trPr>
        <w:tc>
          <w:tcPr>
            <w:tcW w:type="dxa" w:w="3137"/>
          </w:tcPr>
          <w:p>
            <w:r>
              <w:t>Complementos que podían parecer nuevos dictámenes de especialistas.</w:t>
            </w:r>
          </w:p>
        </w:tc>
        <w:tc>
          <w:tcPr>
            <w:tcW w:type="dxa" w:w="3137"/>
          </w:tcPr>
          <w:p>
            <w:r>
              <w:t>Se identifican como síntesis de atención técnica posterior por el tesista y asesor.</w:t>
            </w:r>
          </w:p>
        </w:tc>
        <w:tc>
          <w:tcPr>
            <w:tcW w:type="dxa" w:w="3137"/>
          </w:tcPr>
          <w:p>
            <w:r>
              <w:t>Anexo 6, §6.5 y §6.7.1; fichas originales preservadas.</w:t>
            </w:r>
          </w:p>
        </w:tc>
      </w:tr>
      <w:tr>
        <w:trPr>
          <w:cantSplit/>
        </w:trPr>
        <w:tc>
          <w:tcPr>
            <w:tcW w:type="dxa" w:w="3137"/>
          </w:tcPr>
          <w:p>
            <w:r>
              <w:t>Afirmación de mayor utilidad por agregar los datos.</w:t>
            </w:r>
          </w:p>
        </w:tc>
        <w:tc>
          <w:tcPr>
            <w:tcW w:type="dxa" w:w="3137"/>
          </w:tcPr>
          <w:p>
            <w:r>
              <w:t>Se explica el cambio de escala sin inferir mejor diagnóstico ni mecanismo causal.</w:t>
            </w:r>
          </w:p>
        </w:tc>
        <w:tc>
          <w:tcPr>
            <w:tcW w:type="dxa" w:w="3137"/>
          </w:tcPr>
          <w:p>
            <w:r>
              <w:t>§5.3.</w:t>
            </w:r>
          </w:p>
        </w:tc>
      </w:tr>
      <w:tr>
        <w:trPr>
          <w:cantSplit/>
        </w:trPr>
        <w:tc>
          <w:tcPr>
            <w:tcW w:type="dxa" w:w="3137"/>
          </w:tcPr>
          <w:p>
            <w:r>
              <w:t>Cronología especializada.</w:t>
            </w:r>
          </w:p>
        </w:tc>
        <w:tc>
          <w:tcPr>
            <w:tcW w:type="dxa" w:w="3137"/>
          </w:tcPr>
          <w:p>
            <w:r>
              <w:t>Se conservan las fechas corregidas de entrega, devolución e integración, sin atribuir nueva evaluación en octubre.</w:t>
            </w:r>
          </w:p>
        </w:tc>
        <w:tc>
          <w:tcPr>
            <w:tcW w:type="dxa" w:w="3137"/>
          </w:tcPr>
          <w:p>
            <w:r>
              <w:t>Anexos 4, 5 y 7.</w:t>
            </w:r>
          </w:p>
        </w:tc>
      </w:tr>
    </w:tbl>
    <w:p>
      <w:pPr>
        <w:pStyle w:val="Heading1"/>
      </w:pPr>
      <w:r>
        <w:t>8. Citas, bibliografía y fuentes de contraste</w:t>
      </w:r>
    </w:p>
    <w:p>
      <w:r>
        <w:t>Las 26 referencias conservan correspondencia con las citas y orden de primera aparición. La corrección de citas desplazó la primera aparición de la fuente metodológica de Hernández-Sampieri y Mendoza; se actualizaron correlativamente las referencias afectadas. No se cambió la identidad de las obras. Se mantienen los años de las carátulas de Salas/Méndez y Lozano, diferenciados de sus fechas de depósito en los antecedentes de cotejo.</w:t>
      </w:r>
    </w:p>
    <w:p>
      <w:r>
        <w:t>ISO/IEC/IEEE 12207:2026 [23] se utiliza por su resumen oficial para fundamentar un procedimiento de software sin modelo de ciclo de vida obligatorio. NASA [21, §1.2] respalda la adecuación de formalidad y documentación al proyecto. La tesis aplica estos fundamentos al instrumento; no los presenta como certificación ni como ausencia de requisitos científicos de diseño y evaluación.</w:t>
      </w:r>
    </w:p>
    <w:p>
      <w:r>
        <w:t>Fuentes primarias consultadas en la revisión: ISO, https://www.iso.org/standard/90219.html; NASA, https://www.nasa.gov/reference/1-0-introduction/; SciPy pearsonr, https://docs.scipy.org/doc/scipy/reference/generated/scipy.stats.pearsonr.html; SciPy spearmanr, https://docs.scipy.org/doc/scipy/reference/generated/scipy.stats.spearmanr.html; Qiu y Bose, https://arxiv.org/abs/2501.01344. Los textos originales y cotejos bibliográficos previamente conservados se mantienen en el respaldo.</w:t>
      </w:r>
    </w:p>
    <w:p>
      <w:pPr>
        <w:pStyle w:val="Heading1"/>
      </w:pPr>
      <w:r>
        <w:t>9. Cronología y alcance final</w:t>
      </w:r>
    </w:p>
    <w:tbl>
      <w:tblPr>
        <w:tblStyle w:val="TableGrid"/>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b/>
              </w:rPr>
              <w:t>Especialista</w:t>
            </w:r>
          </w:p>
        </w:tc>
        <w:tc>
          <w:tcPr>
            <w:tcW w:type="dxa" w:w="2353"/>
          </w:tcPr>
          <w:p>
            <w:r>
              <w:rPr>
                <w:b/>
              </w:rPr>
              <w:t>Entrega</w:t>
            </w:r>
          </w:p>
        </w:tc>
        <w:tc>
          <w:tcPr>
            <w:tcW w:type="dxa" w:w="2353"/>
          </w:tcPr>
          <w:p>
            <w:r>
              <w:rPr>
                <w:b/>
              </w:rPr>
              <w:t>Devolución</w:t>
            </w:r>
          </w:p>
        </w:tc>
        <w:tc>
          <w:tcPr>
            <w:tcW w:type="dxa" w:w="2353"/>
          </w:tcPr>
          <w:p>
            <w:r>
              <w:rPr>
                <w:b/>
              </w:rPr>
              <w:t>Integración</w:t>
            </w:r>
          </w:p>
        </w:tc>
      </w:tr>
      <w:tr>
        <w:trPr>
          <w:cantSplit/>
        </w:trPr>
        <w:tc>
          <w:tcPr>
            <w:tcW w:type="dxa" w:w="2353"/>
          </w:tcPr>
          <w:p>
            <w:r>
              <w:t>Edgar Laurente Gómez</w:t>
            </w:r>
          </w:p>
        </w:tc>
        <w:tc>
          <w:tcPr>
            <w:tcW w:type="dxa" w:w="2353"/>
          </w:tcPr>
          <w:p>
            <w:r>
              <w:t>04/08/2026</w:t>
            </w:r>
          </w:p>
        </w:tc>
        <w:tc>
          <w:tcPr>
            <w:tcW w:type="dxa" w:w="2353"/>
          </w:tcPr>
          <w:p>
            <w:r>
              <w:t>23/09/2026</w:t>
            </w:r>
          </w:p>
        </w:tc>
        <w:tc>
          <w:tcPr>
            <w:tcW w:type="dxa" w:w="2353"/>
          </w:tcPr>
          <w:p>
            <w:r>
              <w:t>16/10/2026</w:t>
            </w:r>
          </w:p>
        </w:tc>
      </w:tr>
      <w:tr>
        <w:trPr>
          <w:cantSplit/>
        </w:trPr>
        <w:tc>
          <w:tcPr>
            <w:tcW w:type="dxa" w:w="2353"/>
          </w:tcPr>
          <w:p>
            <w:r>
              <w:t>Oscar Gilberto Zocón Alva</w:t>
            </w:r>
          </w:p>
        </w:tc>
        <w:tc>
          <w:tcPr>
            <w:tcW w:type="dxa" w:w="2353"/>
          </w:tcPr>
          <w:p>
            <w:r>
              <w:t>04/08/2026</w:t>
            </w:r>
          </w:p>
        </w:tc>
        <w:tc>
          <w:tcPr>
            <w:tcW w:type="dxa" w:w="2353"/>
          </w:tcPr>
          <w:p>
            <w:r>
              <w:t>30/08/2026</w:t>
            </w:r>
          </w:p>
        </w:tc>
        <w:tc>
          <w:tcPr>
            <w:tcW w:type="dxa" w:w="2353"/>
          </w:tcPr>
          <w:p>
            <w:r>
              <w:t>15/10/2026</w:t>
            </w:r>
          </w:p>
        </w:tc>
      </w:tr>
      <w:tr>
        <w:trPr>
          <w:cantSplit/>
        </w:trPr>
        <w:tc>
          <w:tcPr>
            <w:tcW w:type="dxa" w:w="2353"/>
          </w:tcPr>
          <w:p>
            <w:r>
              <w:t>Araceli Poémape Grados</w:t>
            </w:r>
          </w:p>
        </w:tc>
        <w:tc>
          <w:tcPr>
            <w:tcW w:type="dxa" w:w="2353"/>
          </w:tcPr>
          <w:p>
            <w:r>
              <w:t>06/08/2026</w:t>
            </w:r>
          </w:p>
        </w:tc>
        <w:tc>
          <w:tcPr>
            <w:tcW w:type="dxa" w:w="2353"/>
          </w:tcPr>
          <w:p>
            <w:r>
              <w:t>10/09/2026</w:t>
            </w:r>
          </w:p>
        </w:tc>
        <w:tc>
          <w:tcPr>
            <w:tcW w:type="dxa" w:w="2353"/>
          </w:tcPr>
          <w:p>
            <w:r>
              <w:t>16/10/2026</w:t>
            </w:r>
          </w:p>
        </w:tc>
      </w:tr>
    </w:tbl>
    <w:p>
      <w:r>
        <w:t>La verificación e integración corresponden al tesista en coordinación con el asesor. Las fichas, puntuaciones, firmas y fechas de evaluación no se sustituyen por los ensayos posteriores. La documentación diferencia la versión histórica, las alternativas fuera de línea y las pruebas posteriores de captura.</w:t>
      </w:r>
    </w:p>
    <w:p>
      <w:r>
        <w:t>La tesis queda consistente para remisión al jurado dentro de su alcance aplicado y descriptivo-correlacional. Sus límites sustantivos permanecen explícitos: un solo enlace, cobertura incompleta, dependencia temporal, configuración no reconstruida por ciclo y escala MCS sin equivalencia completa. La evidencia respalda los objetivos tecnológicos y descriptivos y una evaluación correlacional exploratoria. No se ha demostrado una validación predictiva, causal ni metrológica, y la auditoría no sustituye la conformidad del jurado.</w:t>
      </w:r>
    </w:p>
    <w:p>
      <w:r>
        <w:t>Se entregan tesis corregida, cartas individuales actualizadas y respaldo de trazabilidad. El respaldo incorpora Verificacion_numerica_20261016.json, el script de comprobación, el registro de cambios y el control de paginación. Las versiones anteriores dentro del respaldo conservan su carácter histórico; la carpeta Auditoria_Final_20261016 identifica esta entrega.</w:t>
      </w:r>
    </w:p>
    <w:p>
      <w:r>
        <w:br w:type="page"/>
      </w:r>
    </w:p>
    <w:p>
      <w:pPr>
        <w:pStyle w:val="Heading1"/>
      </w:pPr>
      <w:r>
        <w:t>10. Revisión específica de matrices y metodología</w:t>
      </w:r>
    </w:p>
    <w:p>
      <w:r>
        <w:t>La revisión adicional corrigió una inconsistencia entre el texto metodológico y las celdas de la Tabla I: cálculo, conversión y consulta aparecían mezclados con técnicas e instrumentos. Se uniformó la clasificación en §3.1.5, §3.2, §3.3, §3.5, §3.6 y las Tablas I, II y IX. Las preguntas, objetivos, hipótesis y resultados numéricos permanecen conservados.</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tcPr>
          <w:p>
            <w:r>
              <w:rPr>
                <w:b/>
              </w:rPr>
              <w:t>Elemento</w:t>
            </w:r>
          </w:p>
        </w:tc>
        <w:tc>
          <w:tcPr>
            <w:tcW w:type="dxa" w:w="3137"/>
          </w:tcPr>
          <w:p>
            <w:r>
              <w:rPr>
                <w:b/>
              </w:rPr>
              <w:t>Clasificación coherente</w:t>
            </w:r>
          </w:p>
        </w:tc>
        <w:tc>
          <w:tcPr>
            <w:tcW w:type="dxa" w:w="3137"/>
          </w:tcPr>
          <w:p>
            <w:r>
              <w:rPr>
                <w:b/>
              </w:rPr>
              <w:t>Ubicación de comprobación</w:t>
            </w:r>
          </w:p>
        </w:tc>
      </w:tr>
      <w:tr>
        <w:trPr>
          <w:cantSplit/>
        </w:trPr>
        <w:tc>
          <w:tcPr>
            <w:tcW w:type="dxa" w:w="3137"/>
          </w:tcPr>
          <w:p>
            <w:r>
              <w:t>Enfoque, tipo y nivel</w:t>
            </w:r>
          </w:p>
        </w:tc>
        <w:tc>
          <w:tcPr>
            <w:tcW w:type="dxa" w:w="3137"/>
          </w:tcPr>
          <w:p>
            <w:r>
              <w:t>Cuantitativo; aplicada; descriptivo-correlacional.</w:t>
            </w:r>
          </w:p>
        </w:tc>
        <w:tc>
          <w:tcPr>
            <w:tcW w:type="dxa" w:w="3137"/>
          </w:tcPr>
          <w:p>
            <w:r>
              <w:t>§3.1 y fila general de la Tabla II.</w:t>
            </w:r>
          </w:p>
        </w:tc>
      </w:tr>
      <w:tr>
        <w:trPr>
          <w:cantSplit/>
        </w:trPr>
        <w:tc>
          <w:tcPr>
            <w:tcW w:type="dxa" w:w="3137"/>
          </w:tcPr>
          <w:p>
            <w:r>
              <w:t>Diseño</w:t>
            </w:r>
          </w:p>
        </w:tc>
        <w:tc>
          <w:tcPr>
            <w:tcW w:type="dxa" w:w="3137"/>
          </w:tcPr>
          <w:p>
            <w:r>
              <w:t>No experimental longitudinal para el análisis de telemetría; implementación tecnológica evaluada por comprobaciones funcionales.</w:t>
            </w:r>
          </w:p>
        </w:tc>
        <w:tc>
          <w:tcPr>
            <w:tcW w:type="dxa" w:w="3137"/>
          </w:tcPr>
          <w:p>
            <w:r>
              <w:t>§3.1.4–3.1.5; §3.3.1; Tabla II.</w:t>
            </w:r>
          </w:p>
        </w:tc>
      </w:tr>
      <w:tr>
        <w:trPr>
          <w:cantSplit/>
        </w:trPr>
        <w:tc>
          <w:tcPr>
            <w:tcW w:type="dxa" w:w="3137"/>
          </w:tcPr>
          <w:p>
            <w:r>
              <w:t>Método</w:t>
            </w:r>
          </w:p>
        </w:tc>
        <w:tc>
          <w:tcPr>
            <w:tcW w:type="dxa" w:w="3137"/>
          </w:tcPr>
          <w:p>
            <w:r>
              <w:t>Analítico, apoyado en procedimientos computacionales y estadísticos.</w:t>
            </w:r>
          </w:p>
        </w:tc>
        <w:tc>
          <w:tcPr>
            <w:tcW w:type="dxa" w:w="3137"/>
          </w:tcPr>
          <w:p>
            <w:r>
              <w:t>§3.1.5.</w:t>
            </w:r>
          </w:p>
        </w:tc>
      </w:tr>
      <w:tr>
        <w:trPr>
          <w:cantSplit/>
        </w:trPr>
        <w:tc>
          <w:tcPr>
            <w:tcW w:type="dxa" w:w="3137"/>
          </w:tcPr>
          <w:p>
            <w:r>
              <w:t>Técnica de recolección</w:t>
            </w:r>
          </w:p>
        </w:tc>
        <w:tc>
          <w:tcPr>
            <w:tcW w:type="dxa" w:w="3137"/>
          </w:tcPr>
          <w:p>
            <w:r>
              <w:t>Observación automatizada de telemetría.</w:t>
            </w:r>
          </w:p>
        </w:tc>
        <w:tc>
          <w:tcPr>
            <w:tcW w:type="dxa" w:w="3137"/>
          </w:tcPr>
          <w:p>
            <w:r>
              <w:t>§3.3; Tabla I, columna propia; Tabla II; Tabla IX.</w:t>
            </w:r>
          </w:p>
        </w:tc>
      </w:tr>
      <w:tr>
        <w:trPr>
          <w:cantSplit/>
        </w:trPr>
        <w:tc>
          <w:tcPr>
            <w:tcW w:type="dxa" w:w="3137"/>
          </w:tcPr>
          <w:p>
            <w:r>
              <w:t>Instrumento de recolección</w:t>
            </w:r>
          </w:p>
        </w:tc>
        <w:tc>
          <w:tcPr>
            <w:tcW w:type="dxa" w:w="3137"/>
          </w:tcPr>
          <w:p>
            <w:r>
              <w:t>Sistema automatizado de adquisición y registro de telemetría en Linux, con scripts Bash, consultas SSH, extracción y registro CSV.</w:t>
            </w:r>
          </w:p>
        </w:tc>
        <w:tc>
          <w:tcPr>
            <w:tcW w:type="dxa" w:w="3137"/>
          </w:tcPr>
          <w:p>
            <w:r>
              <w:t>§3.3; Tablas I, II y IX.</w:t>
            </w:r>
          </w:p>
        </w:tc>
      </w:tr>
      <w:tr>
        <w:trPr>
          <w:cantSplit/>
        </w:trPr>
        <w:tc>
          <w:tcPr>
            <w:tcW w:type="dxa" w:w="3137"/>
          </w:tcPr>
          <w:p>
            <w:r>
              <w:t>Fuente de medición</w:t>
            </w:r>
          </w:p>
        </w:tc>
        <w:tc>
          <w:tcPr>
            <w:tcW w:type="dxa" w:w="3137"/>
          </w:tcPr>
          <w:p>
            <w:r>
              <w:t>Radioenlace; consulta al AP con campos por cadena y de la estación asociada.</w:t>
            </w:r>
          </w:p>
        </w:tc>
        <w:tc>
          <w:tcPr>
            <w:tcW w:type="dxa" w:w="3137"/>
          </w:tcPr>
          <w:p>
            <w:r>
              <w:t>§3.3; Tabla IX; Anexos 2–3.</w:t>
            </w:r>
          </w:p>
        </w:tc>
      </w:tr>
      <w:tr>
        <w:trPr>
          <w:cantSplit/>
        </w:trPr>
        <w:tc>
          <w:tcPr>
            <w:tcW w:type="dxa" w:w="3137"/>
          </w:tcPr>
          <w:p>
            <w:r>
              <w:t>Registro, transporte y acceso</w:t>
            </w:r>
          </w:p>
        </w:tc>
        <w:tc>
          <w:tcPr>
            <w:tcW w:type="dxa" w:w="3137"/>
          </w:tcPr>
          <w:p>
            <w:r>
              <w:t>CSV: formato de registro; SSH: protocolo de consulta; Tailscale: acceso remoto.</w:t>
            </w:r>
          </w:p>
        </w:tc>
        <w:tc>
          <w:tcPr>
            <w:tcW w:type="dxa" w:w="3137"/>
          </w:tcPr>
          <w:p>
            <w:r>
              <w:t>§3.3 y arquitectura de la Fig. 1.</w:t>
            </w:r>
          </w:p>
        </w:tc>
      </w:tr>
      <w:tr>
        <w:trPr>
          <w:cantSplit/>
        </w:trPr>
        <w:tc>
          <w:tcPr>
            <w:tcW w:type="dxa" w:w="3137"/>
          </w:tcPr>
          <w:p>
            <w:r>
              <w:t>Procesamiento y análisis</w:t>
            </w:r>
          </w:p>
        </w:tc>
        <w:tc>
          <w:tcPr>
            <w:tcW w:type="dxa" w:w="3137"/>
          </w:tcPr>
          <w:p>
            <w:r>
              <w:t>Python y bibliotecas; cálculo de ΔRSSI, conversión de tasa, consolidación, estadística y agregación.</w:t>
            </w:r>
          </w:p>
        </w:tc>
        <w:tc>
          <w:tcPr>
            <w:tcW w:type="dxa" w:w="3137"/>
          </w:tcPr>
          <w:p>
            <w:r>
              <w:t>§3.4; definiciones operacionales de Tabla I; Tabla II.</w:t>
            </w:r>
          </w:p>
        </w:tc>
      </w:tr>
      <w:tr>
        <w:trPr>
          <w:cantSplit/>
        </w:trPr>
        <w:tc>
          <w:tcPr>
            <w:tcW w:type="dxa" w:w="3137"/>
          </w:tcPr>
          <w:p>
            <w:r>
              <w:t>Revisión por especialistas</w:t>
            </w:r>
          </w:p>
        </w:tc>
        <w:tc>
          <w:tcPr>
            <w:tcW w:type="dxa" w:w="3137"/>
          </w:tcPr>
          <w:p>
            <w:r>
              <w:t>Fichas de evaluación del instrumento; no son instrumentos de medición de RSSI/SNR.</w:t>
            </w:r>
          </w:p>
        </w:tc>
        <w:tc>
          <w:tcPr>
            <w:tcW w:type="dxa" w:w="3137"/>
          </w:tcPr>
          <w:p>
            <w:r>
              <w:t>§3.5; Anexo 4.</w:t>
            </w:r>
          </w:p>
        </w:tc>
      </w:tr>
      <w:tr>
        <w:trPr>
          <w:cantSplit/>
        </w:trPr>
        <w:tc>
          <w:tcPr>
            <w:tcW w:type="dxa" w:w="3137"/>
          </w:tcPr>
          <w:p>
            <w:r>
              <w:t>Población y muestra</w:t>
            </w:r>
          </w:p>
        </w:tc>
        <w:tc>
          <w:tcPr>
            <w:tcW w:type="dxa" w:w="3137"/>
          </w:tcPr>
          <w:p>
            <w:r>
              <w:t>Población de referencia: observaciones del enlace en el intervalo. Población accesible: registros conservados. Muestra analítica: registros válidos según cada procedimiento, sin selección probabilística.</w:t>
            </w:r>
          </w:p>
        </w:tc>
        <w:tc>
          <w:tcPr>
            <w:tcW w:type="dxa" w:w="3137"/>
          </w:tcPr>
          <w:p>
            <w:r>
              <w:t>§3.2.</w:t>
            </w:r>
          </w:p>
        </w:tc>
      </w:tr>
      <w:tr>
        <w:trPr>
          <w:cantSplit/>
        </w:trPr>
        <w:tc>
          <w:tcPr>
            <w:tcW w:type="dxa" w:w="3137"/>
          </w:tcPr>
          <w:p>
            <w:r>
              <w:t>Unidad de análisis</w:t>
            </w:r>
          </w:p>
        </w:tc>
        <w:tc>
          <w:tcPr>
            <w:tcW w:type="dxa" w:w="3137"/>
          </w:tcPr>
          <w:p>
            <w:r>
              <w:t>Captura canónica por ts en resolución original; mediana por intervalo horario en análisis agregado.</w:t>
            </w:r>
          </w:p>
        </w:tc>
        <w:tc>
          <w:tcPr>
            <w:tcW w:type="dxa" w:w="3137"/>
          </w:tcPr>
          <w:p>
            <w:r>
              <w:t>§3.2; §3.4; Anexo 3.</w:t>
            </w:r>
          </w:p>
        </w:tc>
      </w:tr>
      <w:tr>
        <w:trPr>
          <w:cantSplit/>
        </w:trPr>
        <w:tc>
          <w:tcPr>
            <w:tcW w:type="dxa" w:w="3137"/>
          </w:tcPr>
          <w:p>
            <w:r>
              <w:t>Naturaleza de MCS</w:t>
            </w:r>
          </w:p>
        </w:tc>
        <w:tc>
          <w:tcPr>
            <w:tcW w:type="dxa" w:w="3137"/>
          </w:tcPr>
          <w:p>
            <w:r>
              <w:t>Categoría codificada numéricamente; el orden y las distancias físicas no están completamente verificados. Correlaciones exploratorias sobre códigos.</w:t>
            </w:r>
          </w:p>
        </w:tc>
        <w:tc>
          <w:tcPr>
            <w:tcW w:type="dxa" w:w="3137"/>
          </w:tcPr>
          <w:p>
            <w:r>
              <w:t>Tabla I; §2.2.5; §4.4–4.6.</w:t>
            </w:r>
          </w:p>
        </w:tc>
      </w:tr>
    </w:tbl>
    <w:p>
      <w:r>
        <w:t>Tabla I: siete columnas diferenciadas y cinco grupos de variables; se explicitan dimensiones, indicadores/unidades, naturaleza/escala, técnica e instrumento. La misma técnica recoge los RSSI fuente del ΔRSSI; el cálculo derivado no se presenta como técnica independiente. Tabla II: nueva columna metodológica que relaciona el diseño, la técnica, el instrumento y el análisis con los seis objetivos. La muestra analítica no se duplica por las etiquetas AP/SM.</w:t>
      </w:r>
    </w:p>
    <w:p>
      <w:r>
        <w:t>Ubicaciones verificadas en la tesis actualizada: Tabla I, página 46; Tabla II, página 48; técnica e instrumento, §3.3, página 36; población, muestra y unidad, §3.2, página 35. El índice y las remisiones del Anexo 5 se ajustaron a la nueva paginación. La tesis tiene 110 páginas.</w:t>
      </w:r>
    </w:p>
    <w:p>
      <w:r>
        <w:br w:type="page"/>
      </w:r>
    </w:p>
    <w:p>
      <w:pPr>
        <w:pStyle w:val="Heading1"/>
      </w:pPr>
      <w:r>
        <w:t>11. Auditoría de suficiencia y pertinencia de citas</w:t>
      </w:r>
    </w:p>
    <w:p>
      <w:r>
        <w:t>Se revisó el respaldo de las afirmaciones en el documento completo, con atención específica a metodología, técnica, instrumento, variables, verificación y análisis. Se distinguieron fundamentos externos, decisiones del tesista y resultados propios. Se realizaron 45 intervenciones registradas de cita, atribución o remisión interna, más la colocación de la cita de Spearman junto a su definición. Las matrices y la evidencia numérica se preservan.</w:t>
      </w:r>
    </w:p>
    <w:p>
      <w:r>
        <w:t>Las citas respaldan el concepto o criterio tomado de la fuente. Los datos del enlace, los rangos configurados, las ventanas temporales y los resultados del cotejo se apoyan en el código, archivos y anexos. No se añadieron referencias externas a preguntas, objetivos o conclusiones propias solo para aumentar la cantidad de citas.</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tcPr>
          <w:p>
            <w:r>
              <w:rPr>
                <w:b/>
              </w:rPr>
              <w:t>Afirmación o bloque</w:t>
            </w:r>
          </w:p>
        </w:tc>
        <w:tc>
          <w:tcPr>
            <w:tcW w:type="dxa" w:w="3137"/>
          </w:tcPr>
          <w:p>
            <w:r>
              <w:rPr>
                <w:b/>
              </w:rPr>
              <w:t>Fuente pertinente</w:t>
            </w:r>
          </w:p>
        </w:tc>
        <w:tc>
          <w:tcPr>
            <w:tcW w:type="dxa" w:w="3137"/>
          </w:tcPr>
          <w:p>
            <w:r>
              <w:rPr>
                <w:b/>
              </w:rPr>
              <w:t>Aplicación y límite</w:t>
            </w:r>
          </w:p>
        </w:tc>
      </w:tr>
      <w:tr>
        <w:trPr>
          <w:cantSplit/>
        </w:trPr>
        <w:tc>
          <w:tcPr>
            <w:tcW w:type="dxa" w:w="3137"/>
          </w:tcPr>
          <w:p>
            <w:r>
              <w:t>Enfoque, alcance y diseño</w:t>
            </w:r>
          </w:p>
        </w:tc>
        <w:tc>
          <w:tcPr>
            <w:tcW w:type="dxa" w:w="3137"/>
          </w:tcPr>
          <w:p>
            <w:r>
              <w:t>Hernández-Sampieri y Mendoza: organización de la ruta cuantitativa, alcance, diseño, muestra, recolección y análisis.</w:t>
            </w:r>
          </w:p>
        </w:tc>
        <w:tc>
          <w:tcPr>
            <w:tcW w:type="dxa" w:w="3137"/>
          </w:tcPr>
          <w:p>
            <w:r>
              <w:t>§3.1–3.2; fuente metodológica general. El catálogo editorial se usó para comprobar edición y organización, no como sustituto de resultados empíricos.</w:t>
            </w:r>
          </w:p>
        </w:tc>
      </w:tr>
      <w:tr>
        <w:trPr>
          <w:cantSplit/>
        </w:trPr>
        <w:tc>
          <w:tcPr>
            <w:tcW w:type="dxa" w:w="3137"/>
          </w:tcPr>
          <w:p>
            <w:r>
              <w:t>Tipo aplicado</w:t>
            </w:r>
          </w:p>
        </w:tc>
        <w:tc>
          <w:tcPr>
            <w:tcW w:type="dxa" w:w="3137"/>
          </w:tcPr>
          <w:p>
            <w:r>
              <w:t>OCDE, Manual de Frascati, párr. 2.29 [19].</w:t>
            </w:r>
          </w:p>
        </w:tc>
        <w:tc>
          <w:tcPr>
            <w:tcW w:type="dxa" w:w="3137"/>
          </w:tcPr>
          <w:p>
            <w:r>
              <w:t>§3.1.2: orientación hacia un objetivo práctico específico. No se utiliza para afirmar que la adquisición del enlace haya sido experimental.</w:t>
            </w:r>
          </w:p>
        </w:tc>
      </w:tr>
      <w:tr>
        <w:trPr>
          <w:cantSplit/>
        </w:trPr>
        <w:tc>
          <w:tcPr>
            <w:tcW w:type="dxa" w:w="3137"/>
          </w:tcPr>
          <w:p>
            <w:r>
              <w:t>Técnica e instrumento</w:t>
            </w:r>
          </w:p>
        </w:tc>
        <w:tc>
          <w:tcPr>
            <w:tcW w:type="dxa" w:w="3137"/>
          </w:tcPr>
          <w:p>
            <w:r>
              <w:t>Ñaupas et al., cap. 7 [20]; VIM, secs. 3.1–3.2 [21]; software [14].</w:t>
            </w:r>
          </w:p>
        </w:tc>
        <w:tc>
          <w:tcPr>
            <w:tcW w:type="dxa" w:w="3137"/>
          </w:tcPr>
          <w:p>
            <w:r>
              <w:t>§3.1.5 y §3.3: deslinde conceptual y aplicación propia. Ninguna fuente se presenta como autora de los scripts del tesista.</w:t>
            </w:r>
          </w:p>
        </w:tc>
      </w:tr>
      <w:tr>
        <w:trPr>
          <w:cantSplit/>
        </w:trPr>
        <w:tc>
          <w:tcPr>
            <w:tcW w:type="dxa" w:w="3137"/>
          </w:tcPr>
          <w:p>
            <w:r>
              <w:t>Verificación funcional</w:t>
            </w:r>
          </w:p>
        </w:tc>
        <w:tc>
          <w:tcPr>
            <w:tcW w:type="dxa" w:w="3137"/>
          </w:tcPr>
          <w:p>
            <w:r>
              <w:t>NASA Systems Engineering Handbook, sec. 5.3 [22].</w:t>
            </w:r>
          </w:p>
        </w:tc>
        <w:tc>
          <w:tcPr>
            <w:tcW w:type="dxa" w:w="3137"/>
          </w:tcPr>
          <w:p>
            <w:r>
              <w:t>§3.3: relación entre producto y requisitos. Las cantidades y resultados de las pruebas remiten al Anexo 2.</w:t>
            </w:r>
          </w:p>
        </w:tc>
      </w:tr>
      <w:tr>
        <w:trPr>
          <w:cantSplit/>
        </w:trPr>
        <w:tc>
          <w:tcPr>
            <w:tcW w:type="dxa" w:w="3137"/>
          </w:tcPr>
          <w:p>
            <w:r>
              <w:t>Verificación frente a calibración</w:t>
            </w:r>
          </w:p>
        </w:tc>
        <w:tc>
          <w:tcPr>
            <w:tcW w:type="dxa" w:w="3137"/>
          </w:tcPr>
          <w:p>
            <w:r>
              <w:t>VIM, secs. 2.39 y 2.44 [21].</w:t>
            </w:r>
          </w:p>
        </w:tc>
        <w:tc>
          <w:tcPr>
            <w:tcW w:type="dxa" w:w="3137"/>
          </w:tcPr>
          <w:p>
            <w:r>
              <w:t>§3.3 y §3.5: conceptos distintos. La concordancia CSV/CLI no se equipara a exactitud metrológica del receptor.</w:t>
            </w:r>
          </w:p>
        </w:tc>
      </w:tr>
      <w:tr>
        <w:trPr>
          <w:cantSplit/>
        </w:trPr>
        <w:tc>
          <w:tcPr>
            <w:tcW w:type="dxa" w:w="3137"/>
          </w:tcPr>
          <w:p>
            <w:r>
              <w:t>Dependencia temporal</w:t>
            </w:r>
          </w:p>
        </w:tc>
        <w:tc>
          <w:tcPr>
            <w:tcW w:type="dxa" w:w="3137"/>
          </w:tcPr>
          <w:p>
            <w:r>
              <w:t>NIST/SEMATECH, sec. 6.4 [17].</w:t>
            </w:r>
          </w:p>
        </w:tc>
        <w:tc>
          <w:tcPr>
            <w:tcW w:type="dxa" w:w="3137"/>
          </w:tcPr>
          <w:p>
            <w:r>
              <w:t>§2.2.7, §3.1.4 y §3.4: estructura temporal y autocorrelación. No se presupone independencia al agregar.</w:t>
            </w:r>
          </w:p>
        </w:tc>
      </w:tr>
      <w:tr>
        <w:trPr>
          <w:cantSplit/>
        </w:trPr>
        <w:tc>
          <w:tcPr>
            <w:tcW w:type="dxa" w:w="3137"/>
          </w:tcPr>
          <w:p>
            <w:r>
              <w:t>Pearson y Spearman</w:t>
            </w:r>
          </w:p>
        </w:tc>
        <w:tc>
          <w:tcPr>
            <w:tcW w:type="dxa" w:w="3137"/>
          </w:tcPr>
          <w:p>
            <w:r>
              <w:t>Documentación oficial de SciPy [24], [25].</w:t>
            </w:r>
          </w:p>
        </w:tc>
        <w:tc>
          <w:tcPr>
            <w:tcW w:type="dxa" w:w="3137"/>
          </w:tcPr>
          <w:p>
            <w:r>
              <w:t>§3.4: definición, fórmula, rangos, interpretación y alcance de los valores p. El coeficiente no se confunde con una prueba causal.</w:t>
            </w:r>
          </w:p>
        </w:tc>
      </w:tr>
      <w:tr>
        <w:trPr>
          <w:cantSplit/>
        </w:trPr>
        <w:tc>
          <w:tcPr>
            <w:tcW w:type="dxa" w:w="3137"/>
          </w:tcPr>
          <w:p>
            <w:r>
              <w:t>Remuestreo por bloques</w:t>
            </w:r>
          </w:p>
        </w:tc>
        <w:tc>
          <w:tcPr>
            <w:tcW w:type="dxa" w:w="3137"/>
          </w:tcPr>
          <w:p>
            <w:r>
              <w:t>Lahiri, Resampling Methods for Dependent Data [26].</w:t>
            </w:r>
          </w:p>
        </w:tc>
        <w:tc>
          <w:tcPr>
            <w:tcW w:type="dxa" w:w="3137"/>
          </w:tcPr>
          <w:p>
            <w:r>
              <w:t>§3.4: fundamento para datos dependientes. Bloques de 1/3/7 días, 2 999 réplicas y semilla son decisiones documentadas del análisis, no valores prescritos por el libro.</w:t>
            </w:r>
          </w:p>
        </w:tc>
      </w:tr>
      <w:tr>
        <w:trPr>
          <w:cantSplit/>
        </w:trPr>
        <w:tc>
          <w:tcPr>
            <w:tcW w:type="dxa" w:w="3137"/>
          </w:tcPr>
          <w:p>
            <w:r>
              <w:t>Campos RF y transformaciones</w:t>
            </w:r>
          </w:p>
        </w:tc>
        <w:tc>
          <w:tcPr>
            <w:tcW w:type="dxa" w:w="3137"/>
          </w:tcPr>
          <w:p>
            <w:r>
              <w:t>MIB del fabricante [16] y software del proyecto [14].</w:t>
            </w:r>
          </w:p>
        </w:tc>
        <w:tc>
          <w:tcPr>
            <w:tcW w:type="dxa" w:w="3137"/>
          </w:tcPr>
          <w:p>
            <w:r>
              <w:t>§2.2, §3.3–3.5 y Anexo 2: semántica de campos frente a extracción y procesamiento.</w:t>
            </w:r>
          </w:p>
        </w:tc>
      </w:tr>
      <w:tr>
        <w:trPr>
          <w:cantSplit/>
        </w:trPr>
        <w:tc>
          <w:tcPr>
            <w:tcW w:type="dxa" w:w="3137"/>
          </w:tcPr>
          <w:p>
            <w:r>
              <w:t>Operacionalización y consistencia</w:t>
            </w:r>
          </w:p>
        </w:tc>
        <w:tc>
          <w:tcPr>
            <w:tcW w:type="dxa" w:w="3137"/>
          </w:tcPr>
          <w:p>
            <w:r>
              <w:t>Ñaupas, caps. 6 y 7 [20]; Hernández-Sampieri y Mendoza [18].</w:t>
            </w:r>
          </w:p>
        </w:tc>
        <w:tc>
          <w:tcPr>
            <w:tcW w:type="dxa" w:w="3137"/>
          </w:tcPr>
          <w:p>
            <w:r>
              <w:t>§3.5–3.6: marco de organización. Indicadores, campos y correspondencias particulares son elaboración de esta tesis.</w:t>
            </w:r>
          </w:p>
        </w:tc>
      </w:tr>
      <w:tr>
        <w:trPr>
          <w:cantSplit/>
        </w:trPr>
        <w:tc>
          <w:tcPr>
            <w:tcW w:type="dxa" w:w="3137"/>
          </w:tcPr>
          <w:p>
            <w:r>
              <w:t>Conteos y resultados del enlace</w:t>
            </w:r>
          </w:p>
        </w:tc>
        <w:tc>
          <w:tcPr>
            <w:tcW w:type="dxa" w:w="3137"/>
          </w:tcPr>
          <w:p>
            <w:r>
              <w:t>Tablas de resultados y Anexos 2, 3 y 7.</w:t>
            </w:r>
          </w:p>
        </w:tc>
        <w:tc>
          <w:tcPr>
            <w:tcW w:type="dxa" w:w="3137"/>
          </w:tcPr>
          <w:p>
            <w:r>
              <w:t>Se añadieron remisiones donde se informaban cobertura, cadencia, tamaños de muestra y cotejos sin indicar su evidencia local.</w:t>
            </w:r>
          </w:p>
        </w:tc>
      </w:tr>
      <w:tr>
        <w:trPr>
          <w:cantSplit/>
        </w:trPr>
        <w:tc>
          <w:tcPr>
            <w:tcW w:type="dxa" w:w="3137"/>
          </w:tcPr>
          <w:p>
            <w:r>
              <w:t>Marco teórico y discusión</w:t>
            </w:r>
          </w:p>
        </w:tc>
        <w:tc>
          <w:tcPr>
            <w:tcW w:type="dxa" w:w="3137"/>
          </w:tcPr>
          <w:p>
            <w:r>
              <w:t>Referencias de comunicaciones ya identificadas y documentación del fabricante.</w:t>
            </w:r>
          </w:p>
        </w:tc>
        <w:tc>
          <w:tcPr>
            <w:tcW w:type="dxa" w:w="3137"/>
          </w:tcPr>
          <w:p>
            <w:r>
              <w:t>Se precisaron citas de Shannon-Hartley, MCS, tasa reportada y significado de las asociaciones; no se extrapolan diagnósticos ni causalidad.</w:t>
            </w:r>
          </w:p>
        </w:tc>
      </w:tr>
    </w:tbl>
    <w:p>
      <w:r>
        <w:t>Se contrastaron directamente las secciones nuevas de OCDE, VIM, NIST y NASA; se consultaron la documentación oficial de SciPy, las fichas y contenidos editoriales de las obras metodológicas y los cotejos bibliográficos previamente conservados. Los libros generales de comunicaciones y metodología se mantienen como fundamentos; esta revisión no se presenta como lectura íntegra nuevamente realizada de todas las obras. Los antecedentes cuyo texto completo no fue cotejado conservan el alcance limitado que ya declara la tesis.</w:t>
      </w:r>
    </w:p>
    <w:p>
      <w:r>
        <w:t>La bibliografía pasa de 23 a 26 referencias. Todas se renumeraron por primera aparición y se conserva la identidad de las 23 obras anteriores. La numeración de las carpetas históricas del respaldo puede diferir; Mapa_referencias_citas.json identifica la correspondencia con esta entrega. No se alteran puntuaciones, firmas ni fechas de las evaluaciones especializadas.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