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Cajamarca, 16 de octubre de 2026</w:t>
      </w:r>
    </w:p>
    <w:p>
      <w:r>
        <w:rPr>
          <w:b/>
        </w:rPr>
        <w:t>Ena Cacho</w:t>
      </w:r>
    </w:p>
    <w:p>
      <w:r>
        <w:t>Miembro del jurado evaluador</w:t>
        <w:br/>
        <w:t>Escuela Profesional de Ingeniería de Sistemas</w:t>
        <w:br/>
        <w:t>Universidad Nacional de Cajamarca</w:t>
      </w:r>
    </w:p>
    <w:p>
      <w:r>
        <w:rPr>
          <w:b/>
        </w:rPr>
        <w:t xml:space="preserve">Asunto: </w:t>
      </w:r>
      <w:r>
        <w:t>Remisión de tesis corregida y levantamiento de observaciones para su conformidad</w:t>
      </w:r>
    </w:p>
    <w:p>
      <w:r>
        <w:t>De mi consideración:</w:t>
      </w:r>
    </w:p>
    <w:p>
      <w:r>
        <w:t>Me dirijo a usted para remitir la versión corregida de mi tesis titulada «Implementación de un sistema automatizado de adquisición de métricas y análisis del desbalance de señal (ΔRSSI) en un radioenlace MIMO de 5,8 GHz en un entorno andino» y solicitar su revisión y conformidad respecto del levantamiento de sus observaciones.</w:t>
      </w:r>
    </w:p>
    <w:p>
      <w:r>
        <w:t>Las correcciones fueron integradas por el tesista en coordinación con el asesor, Dr. Ing. Carlos Jesús Koo Labrín. A continuación, se detalla cada observación, la modificación aplicada y la ubicación que permite comprobarla en la tesis remitida. La trazabilidad se presenta en esta comunicación independiente; la tesis conserva el desarrollo científico y los anexos técnicos que sustentan sus resultados.</w:t>
      </w:r>
    </w:p>
    <w:p>
      <w:pPr>
        <w:pStyle w:val="Heading1"/>
      </w:pPr>
      <w:r>
        <w:t>Atención de observaciones</w:t>
      </w:r>
    </w:p>
    <w:p>
      <w:pPr>
        <w:pStyle w:val="Heading2"/>
      </w:pPr>
      <w:r>
        <w:t>E1 Uniformar citas y referencias al estilo IEEE.</w:t>
      </w:r>
    </w:p>
    <w:p>
      <w:r>
        <w:t>Se conserva la numeración de primera aparición [1]–[26] y su correspondencia bibliográfica; se revisan metadatos y el alcance de las fuentes.</w:t>
      </w:r>
    </w:p>
    <w:p>
      <w:r>
        <w:rPr>
          <w:b/>
        </w:rPr>
        <w:t xml:space="preserve">Ubicación para comprobación: </w:t>
      </w:r>
      <w:r>
        <w:t>Citas del texto; referencias bibliográficas; §2.1.</w:t>
      </w:r>
    </w:p>
    <w:p>
      <w:pPr>
        <w:pStyle w:val="Heading2"/>
      </w:pPr>
      <w:r>
        <w:t>E2 Alinear la matriz de consistencia.</w:t>
      </w:r>
    </w:p>
    <w:p>
      <w:r>
        <w:t>Preguntas, objetivos e hipótesis se cotejan con el capítulo I y la Tabla II; las partes descriptivas no reciben hipótesis estadísticas artificiales.</w:t>
      </w:r>
    </w:p>
    <w:p>
      <w:r>
        <w:rPr>
          <w:b/>
        </w:rPr>
        <w:t xml:space="preserve">Ubicación para comprobación: </w:t>
      </w:r>
      <w:r>
        <w:t>§1.2, §1.5, §1.6 y §3.6, Tabla II.</w:t>
      </w:r>
    </w:p>
    <w:p>
      <w:pPr>
        <w:pStyle w:val="Heading2"/>
      </w:pPr>
      <w:r>
        <w:t>E3 Relacionar el problema con el título.</w:t>
      </w:r>
    </w:p>
    <w:p>
      <w:r>
        <w:t>Título y pregunta general integran implementación, adquisición automatizada, caracterización del ΔRSSI y asociación en un radioenlace MIMO andino.</w:t>
      </w:r>
    </w:p>
    <w:p>
      <w:r>
        <w:rPr>
          <w:b/>
        </w:rPr>
        <w:t xml:space="preserve">Ubicación para comprobación: </w:t>
      </w:r>
      <w:r>
        <w:t>Portada; §1.1–1.2.</w:t>
      </w:r>
    </w:p>
    <w:p>
      <w:pPr>
        <w:pStyle w:val="Heading2"/>
      </w:pPr>
      <w:r>
        <w:t>E4 Validar el instrumento.</w:t>
      </w:r>
    </w:p>
    <w:p>
      <w:r>
        <w:t>Se documentan cotejo CLI–CSV, controles del extractor, captura ampliada y reproducción del procesamiento completo. La validación distingue extracción de calibración física.</w:t>
      </w:r>
    </w:p>
    <w:p>
      <w:r>
        <w:rPr>
          <w:b/>
        </w:rPr>
        <w:t xml:space="preserve">Ubicación para comprobación: </w:t>
      </w:r>
      <w:r>
        <w:t>§3.3; §4.1; Anexos 2, 3 y 7.</w:t>
      </w:r>
    </w:p>
    <w:p>
      <w:pPr>
        <w:pStyle w:val="Heading2"/>
      </w:pPr>
      <w:r>
        <w:t>E5 Identificar las variables.</w:t>
      </w:r>
    </w:p>
    <w:p>
      <w:r>
        <w:t>Se distinguen RSSI por cadena, ΔRSSI, SNR, códigos MCS y tasa DL reportada; el sistema es instrumento y producto tecnológico.</w:t>
      </w:r>
    </w:p>
    <w:p>
      <w:r>
        <w:rPr>
          <w:b/>
        </w:rPr>
        <w:t xml:space="preserve">Ubicación para comprobación: </w:t>
      </w:r>
      <w:r>
        <w:t>§3.5, Tabla I.</w:t>
      </w:r>
    </w:p>
    <w:p>
      <w:pPr>
        <w:pStyle w:val="Heading2"/>
      </w:pPr>
      <w:r>
        <w:t>E6 Incorporar la hipótesis en la estructura.</w:t>
      </w:r>
    </w:p>
    <w:p>
      <w:r>
        <w:t>Hipótesis general y formulación H0/H1 se articulan con una sección explícita de contrastación exploratoria.</w:t>
      </w:r>
    </w:p>
    <w:p>
      <w:r>
        <w:rPr>
          <w:b/>
        </w:rPr>
        <w:t xml:space="preserve">Ubicación para comprobación: </w:t>
      </w:r>
      <w:r>
        <w:t>Contenido; §1.6; §4.5–4.6.</w:t>
      </w:r>
    </w:p>
    <w:p>
      <w:pPr>
        <w:pStyle w:val="Heading2"/>
      </w:pPr>
      <w:r>
        <w:t>E7 Respaldar con citas los párrafos que lo requieren.</w:t>
      </w:r>
    </w:p>
    <w:p>
      <w:r>
        <w:t>Se revisa la pertinencia y suficiencia de citas y remisiones. Se refuerzan técnica, instrumento, verificación y dependencia temporal con fuentes metodológicas y técnicas; los resultados propios se vinculan con datos, código y anexos. La bibliografía incorpora 26 referencias en orden IEEE.</w:t>
      </w:r>
    </w:p>
    <w:p>
      <w:r>
        <w:rPr>
          <w:b/>
        </w:rPr>
        <w:t xml:space="preserve">Ubicación para comprobación: </w:t>
      </w:r>
      <w:r>
        <w:t>§2.1–2.2; §3.1 y §3.4; referencias.</w:t>
      </w:r>
    </w:p>
    <w:p>
      <w:pPr>
        <w:pStyle w:val="Heading2"/>
      </w:pPr>
      <w:r>
        <w:t>E8 Relacionar la operacionalización con las variables.</w:t>
      </w:r>
    </w:p>
    <w:p>
      <w:r>
        <w:t>La Tabla I separa definición operacional, dimensiones, indicadores y unidades, naturaleza y escala, técnica e instrumento. Se uniforma con §3.3 y las Tablas II y IX. ΔRSSI es un cálculo derivado; Python es herramienta de procesamiento.</w:t>
      </w:r>
    </w:p>
    <w:p>
      <w:r>
        <w:rPr>
          <w:b/>
        </w:rPr>
        <w:t xml:space="preserve">Ubicación para comprobación: </w:t>
      </w:r>
      <w:r>
        <w:t>§3.5, Tabla I; Anexo 2, Tabla X.</w:t>
      </w:r>
    </w:p>
    <w:p>
      <w:pPr>
        <w:pStyle w:val="Heading1"/>
      </w:pPr>
      <w:r>
        <w:t>Precisiones de las anotaciones fotográficas</w:t>
      </w:r>
    </w:p>
    <w:p>
      <w:r>
        <w:t>EF1 Pregunta general corta. Se abrevia la pregunta conservando implementación, verificación, ΔRSSI, asociación y contexto del enlace. Ubicación: §1.2 y Tabla II.</w:t>
      </w:r>
    </w:p>
    <w:p>
      <w:r>
        <w:t>EF2 Por qué usar Pearson y Spearman y sus resultados. Se justifica su complementariedad lineal y monotónica. Se conservan coeficientes y su interpretación exploratoria. Ubicación: §3.4; §4.4–4.6; resumen.</w:t>
      </w:r>
    </w:p>
    <w:p>
      <w:r>
        <w:t>EF3 Objetivo, diseño y resultados del resumen. Se revisan Resumen y Abstract para mantener equivalencia en problema, objetivo, metodología, cifras, verificación del sistema y conclusión. Ubicación: Resumen; Abstract; §1.5 y §3.1.</w:t>
      </w:r>
    </w:p>
    <w:p>
      <w:r>
        <w:t>EF4 Tablas y figuras en IEEE. Se uniforman los títulos de tablas con numeración romana sobre la tabla y los pies de figuras con numeración arábiga debajo. Ubicación: Tablas I–XIII y Figuras 1–8.</w:t>
      </w:r>
    </w:p>
    <w:p>
      <w:r>
        <w:t>EF5 Vacíos en las Figuras 3 y 4. Se reconstruyen ambas figuras con medianas horarias y cortes sin interpolación. Se explicita la cobertura mensual y se distingue ausencia de fechas de ausencias intradiarias. Ubicación: §4.3, Figuras 3–4; §5.5.</w:t>
      </w:r>
    </w:p>
    <w:p>
      <w:pPr>
        <w:pStyle w:val="Heading1"/>
      </w:pPr>
      <w:r>
        <w:t>Versión remitida y solicitud de conformidad</w:t>
      </w:r>
    </w:p>
    <w:p>
      <w:r>
        <w:t>Se adjunta la tesis corregida, identificada como Tesis_Jhon_Torres_Levantamiento_Tres_Jurados.docx. Las ubicaciones anteriores corresponden a sus apartados, tablas, figuras y anexos; permiten revisar las correcciones dentro del documento completo.</w:t>
      </w:r>
    </w:p>
    <w:p>
      <w:r>
        <w:t>Agradeceré evaluar las modificaciones descritas y comunicar su conformidad con el levantamiento de las observaciones formuladas. Quedo atento a cualquier precisión que considere necesaria para culminar la revisión.</w:t>
      </w:r>
    </w:p>
    <w:p>
      <w:pPr>
        <w:keepNext/>
      </w:pPr>
      <w:r>
        <w:t>Atentamente,</w:t>
      </w:r>
    </w:p>
    <w:p>
      <w:r>
        <w:br/>
        <w:t>Jhon Cristhian Torres Hoyos</w:t>
        <w:br/>
        <w:t>Bachiller en Ingeniería de Sistemas</w:t>
        <w:br/>
        <w:t>Tesista</w:t>
      </w:r>
    </w:p>
    <w:sectPr w:rsidR="00FC693F" w:rsidRPr="0006063C" w:rsidSect="00034616">
      <w:footerReference w:type="default" r:id="rId9"/>
      <w:pgSz w:w="11906" w:h="16838"/>
      <w:pgMar w:top="1134" w:right="1361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