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Cajamarca, 16 de octubre de 2026</w:t>
      </w:r>
    </w:p>
    <w:p>
      <w:r>
        <w:rPr>
          <w:b/>
        </w:rPr>
        <w:t>Manuel E. Malpica Rodríguez</w:t>
      </w:r>
    </w:p>
    <w:p>
      <w:r>
        <w:t>Miembro del jurado evaluador</w:t>
        <w:br/>
        <w:t>Escuela Profesional de Ingeniería de Sistemas</w:t>
        <w:br/>
        <w:t>Universidad Nacional de Cajamarca</w:t>
      </w:r>
    </w:p>
    <w:p>
      <w:r>
        <w:rPr>
          <w:b/>
        </w:rPr>
        <w:t xml:space="preserve">Asunto: </w:t>
      </w:r>
      <w:r>
        <w:t>Remisión de tesis corregida y levantamiento de observaciones para su conformidad</w:t>
      </w:r>
    </w:p>
    <w:p>
      <w:r>
        <w:t>De mi consideración:</w:t>
      </w:r>
    </w:p>
    <w:p>
      <w:r>
        <w:t>Me dirijo a usted para remitir la versión corregida de mi tesis titulada «Implementación de un sistema automatizado de adquisición de métricas y análisis del desbalance de señal (ΔRSSI) en un radioenlace MIMO de 5,8 GHz en un entorno andino» y solicitar su revisión y conformidad respecto del levantamiento de sus observaciones.</w:t>
      </w:r>
    </w:p>
    <w:p>
      <w:r>
        <w:t>Las correcciones fueron integradas por el tesista en coordinación con el asesor, Dr. Ing. Carlos Jesús Koo Labrín. Esta carta detalla las observaciones, modificaciones y ubicaciones para su comprobación. La tesis conserva el desarrollo científico y los anexos técnicos.</w:t>
      </w:r>
    </w:p>
    <w:p>
      <w:pPr>
        <w:pStyle w:val="Heading1"/>
      </w:pPr>
      <w:r>
        <w:t>Atención de observaciones</w:t>
      </w:r>
    </w:p>
    <w:p>
      <w:pPr>
        <w:pStyle w:val="Heading2"/>
      </w:pPr>
      <w:r>
        <w:t>M1 Corregir las observaciones internas del documento.</w:t>
      </w:r>
    </w:p>
    <w:p>
      <w:r>
        <w:t>Se revisan los nueve comentarios de revisión presentes en la versión recibida. Se depuran notas desactualizadas al contrastarlas con los cotejos, referencias y límites actuales.</w:t>
      </w:r>
    </w:p>
    <w:p>
      <w:r>
        <w:rPr>
          <w:b/>
        </w:rPr>
        <w:t xml:space="preserve">Ubicación para comprobación: </w:t>
      </w:r>
      <w:r>
        <w:t>Texto final; registro de revisión conservado en la auditoría de edición.</w:t>
      </w:r>
    </w:p>
    <w:p>
      <w:pPr>
        <w:pStyle w:val="Heading2"/>
      </w:pPr>
      <w:r>
        <w:t>M2 Verificar consistencia entre título, objetivos, preguntas e hipótesis.</w:t>
      </w:r>
    </w:p>
    <w:p>
      <w:r>
        <w:t>Se coteja la correspondencia entre capítulo I y matriz; se conserva una hipótesis general del componente correlacional.</w:t>
      </w:r>
    </w:p>
    <w:p>
      <w:r>
        <w:rPr>
          <w:b/>
        </w:rPr>
        <w:t xml:space="preserve">Ubicación para comprobación: </w:t>
      </w:r>
      <w:r>
        <w:t>Portada; §1.2, §1.5–1.6; §3.6, Tabla II.</w:t>
      </w:r>
    </w:p>
    <w:p>
      <w:pPr>
        <w:pStyle w:val="Heading2"/>
      </w:pPr>
      <w:r>
        <w:t>M3 Ajustar al alcance descriptivo-correlacional.</w:t>
      </w:r>
    </w:p>
    <w:p>
      <w:r>
        <w:t>El diseño es observacional, no experimental y longitudinal. Las asociaciones no se interpretan como causalidad ni como confirmación inferencial general.</w:t>
      </w:r>
    </w:p>
    <w:p>
      <w:r>
        <w:rPr>
          <w:b/>
        </w:rPr>
        <w:t xml:space="preserve">Ubicación para comprobación: </w:t>
      </w:r>
      <w:r>
        <w:t>§1.4; §3.1; §4.5; §5.5; conclusiones.</w:t>
      </w:r>
    </w:p>
    <w:p>
      <w:pPr>
        <w:pStyle w:val="Heading2"/>
      </w:pPr>
      <w:r>
        <w:t>M4 Enfatizar la implementación del sistema y el análisis.</w:t>
      </w:r>
    </w:p>
    <w:p>
      <w:r>
        <w:t>Se describen consultas, scripts, CSV, canonización, procesamiento, repositorio versionado y resultados reproducidos.</w:t>
      </w:r>
    </w:p>
    <w:p>
      <w:r>
        <w:rPr>
          <w:b/>
        </w:rPr>
        <w:t xml:space="preserve">Ubicación para comprobación: </w:t>
      </w:r>
      <w:r>
        <w:t>§3.3–3.4; §4.1–4.2; Anexos 1, 6 y 7.</w:t>
      </w:r>
    </w:p>
    <w:p>
      <w:pPr>
        <w:pStyle w:val="Heading2"/>
      </w:pPr>
      <w:r>
        <w:t>M5 Revisar técnica e instrumento, validación y confiabilidad.</w:t>
      </w:r>
    </w:p>
    <w:p>
      <w:r>
        <w:t>Se uniforman técnica e instrumento en las Tablas I, II y IX. Se incorpora respaldo bibliográfico para el deslinde conceptual, los dispositivos de medición y la verificación, y se distingue calibración. Las decisiones del tesista y los resultados del cotejo remiten a código y anexos.</w:t>
      </w:r>
    </w:p>
    <w:p>
      <w:r>
        <w:rPr>
          <w:b/>
        </w:rPr>
        <w:t xml:space="preserve">Ubicación para comprobación: </w:t>
      </w:r>
      <w:r>
        <w:t>§3.3; Anexos 2, 3, 4 y 7.</w:t>
      </w:r>
    </w:p>
    <w:p>
      <w:pPr>
        <w:pStyle w:val="Heading1"/>
      </w:pPr>
      <w:r>
        <w:t>Precisiones de las anotaciones fotográficas</w:t>
      </w:r>
    </w:p>
    <w:p>
      <w:r>
        <w:t>MF1 Título, problema y objetivo general. Se mantiene la implementación y verificación del sistema como componente tecnológico y el análisis del ΔRSSI como componente descriptivo-correlacional. La pregunta y la matriz conservan esa correspondencia. Ubicación: Portada; §1.1–1.2; §1.5; Tabla II. La carátula sigue el modelo institucional proporcionado: denominación del título profesional, nombres del asesor y ciudad y año.</w:t>
      </w:r>
    </w:p>
    <w:p>
      <w:r>
        <w:t>MF2 Problema explícito en el resumen. Se precisan necesidad de telemetría trazable, objetivo, diseño, verificación tecnológica, resultados y conclusión, con equivalencia entre Resumen y Abstract.</w:t>
      </w:r>
    </w:p>
    <w:p>
      <w:r>
        <w:t>MF3 Justificación y alcance. Se diferencian aporte empírico, utilidad de registros y procedimiento reproducible; el alcance se limita al enlace y a los datos observados. Ubicación: §1.3–1.4.</w:t>
      </w:r>
    </w:p>
    <w:p>
      <w:r>
        <w:t>MF4 Objetivos específicos y resultados. Los cinco objetivos se vinculan con preguntas y resultados; la distribución del RSSI por cadena se completa con n, medias, medianas, cuartiles y rangos. Ubicación: §1.2 y §1.5; §4.1–4.6; conclusiones.</w:t>
      </w:r>
    </w:p>
    <w:p>
      <w:r>
        <w:t>MF5 Teorías para implementar el sistema. Se conecta el fundamento radioeléctrico con consultas SSH, extracción, marcas temporales, registros canónicos y verificación computacional. Ubicación: §2.2.7; §3.3; §4.1; Anexo 7.</w:t>
      </w:r>
    </w:p>
    <w:p>
      <w:r>
        <w:t>MF6 Diseño y método. Se distingue desarrollo de la herramienta del análisis observacional longitudinal. La reparación operativa no se interpreta como tratamiento experimental. Ubicación: §3.1.3–3.1.5.</w:t>
      </w:r>
    </w:p>
    <w:p>
      <w:r>
        <w:t>MF7 Periodo, población y unidad de análisis. Se delimitan población de referencia, población accesible y muestra analítica según disponibilidad. La unidad es una captura canónica por ts o un intervalo horario según el análisis, sin duplicar las etiquetas AP/SM. Ubicación: §3.2; §4.2–4.3; Anexo 3.</w:t>
      </w:r>
    </w:p>
    <w:p>
      <w:r>
        <w:t>MF8 Técnica, instrumento y análisis. Se distingue observación automatizada, sistema de adquisición y registro, radio como fuente de medición y Python como herramienta de procesamiento. La matriz incorpora la correspondencia metodológica por objetivo. Ubicación: §3.3–3.6; Tablas I, II y IX.</w:t>
      </w:r>
    </w:p>
    <w:p>
      <w:r>
        <w:t>MF9 Variables e hipótesis. ΔRSSI se mantiene como variable de referencia asociativa; las métricas no reciben una interpretación causal. La hipótesis corresponde al componente correlacional y se contrasta de forma exploratoria. Ubicación: §1.6; §3.5–3.6; Tabla II; §4.5.</w:t>
      </w:r>
    </w:p>
    <w:p>
      <w:r>
        <w:t>MF10 Formato IEEE y terminología. Se conservan citas numeradas, títulos de tablas y pies de figuras uniformes; siglas y símbolos cuentan con listas y definiciones. Ubicación: Preliminares; capítulos II–IV; referencias.</w:t>
      </w:r>
    </w:p>
    <w:p>
      <w:r>
        <w:t>MF11 Validación del instrumento. Se identifican sistema, fuente de datos, cotejo CLI–CSV, controles del extractor, reproducción de los 90 archivos y fichas de especialistas. Ubicación: §3.3; §4.1; Anexos 2–7.</w:t>
      </w:r>
    </w:p>
    <w:p>
      <w:r>
        <w:t>MF12 Interrupciones y condiciones de acceso al sitio. Se incorpora el antecedente operativo comunicado por el asesor sobre desalineación y acceso diferido al sitio de aproximadamente 3 700 m s. n. m. Se conserva la cobertura verificada y su efecto sobre el alcance. Ubicación: §3.1.4; §4.3; §5.5; Anexo 3.</w:t>
      </w:r>
    </w:p>
    <w:p>
      <w:pPr>
        <w:pStyle w:val="Heading1"/>
      </w:pPr>
      <w:r>
        <w:t>Versión remitida y solicitud de conformidad</w:t>
      </w:r>
    </w:p>
    <w:p>
      <w:r>
        <w:t>Se adjunta la tesis corregida. Las ubicaciones indicadas permiten comprobar las modificaciones dentro del documento completo.</w:t>
      </w:r>
    </w:p>
    <w:p>
      <w:r>
        <w:t>Agradeceré evaluar las modificaciones descritas y comunicar su conformidad con el levantamiento de las observaciones formuladas. Quedo atento a cualquier precisión que considere necesaria para culminar la revisión.</w:t>
      </w:r>
    </w:p>
    <w:p>
      <w:pPr>
        <w:keepNext/>
      </w:pPr>
      <w:r>
        <w:t>Atentamente,</w:t>
      </w:r>
    </w:p>
    <w:p>
      <w:r>
        <w:br/>
        <w:t>Jhon Cristhian Torres Hoyos</w:t>
        <w:br/>
        <w:t>Bachiller en Ingeniería de Sistemas</w:t>
        <w:br/>
        <w:t>Tesista</w:t>
      </w:r>
    </w:p>
    <w:sectPr w:rsidR="00FC693F" w:rsidRPr="0006063C" w:rsidSect="00034616">
      <w:footerReference w:type="default" r:id="rId9"/>
      <w:pgSz w:w="11906" w:h="16838"/>
      <w:pgMar w:top="1134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