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28"/>
        </w:rPr>
        <w:t>CAPÍTULO III</w:t>
        <w:br/>
        <w:t>METODOLOGÍA</w:t>
      </w:r>
    </w:p>
    <w:p>
      <w:pPr>
        <w:spacing w:line="360" w:lineRule="auto" w:after="0"/>
        <w:ind w:firstLine="706"/>
        <w:jc w:val="both"/>
      </w:pPr>
      <w:r>
        <w:t>El capítulo describe los procedimientos que se ejecutaron para construir y evaluar el sistema inteligente basado en analítica de datos temporales. La metodología se reconstruyó a partir del flujo efectivamente aplicado a la telemetría del radioenlace Cuñacales-San José, de modo que las decisiones metodológicas, los conjuntos de datos, los modelos y las métricas mantienen correspondencia directa con los resultados presentados en el capítulo IV.</w:t>
      </w:r>
    </w:p>
    <w:p>
      <w:pPr>
        <w:pStyle w:val="Heading1"/>
        <w:keepNext/>
      </w:pPr>
      <w:r>
        <w:t>3.1. Enfoque, tipo, nivel, diseño y método de la investigación</w:t>
      </w:r>
    </w:p>
    <w:p>
      <w:pPr>
        <w:spacing w:line="360" w:lineRule="auto" w:after="0"/>
        <w:ind w:firstLine="706"/>
        <w:jc w:val="both"/>
      </w:pPr>
      <w:r>
        <w:t>La investigación siguió un enfoque cuantitativo porque trabajó con mediciones numéricas de telemetría y evaluó el comportamiento del sistema mediante indicadores estadísticos y computacionales. La ruta cuantitativa se caracteriza por la medición de variables, la aplicación de procedimientos sistemáticos y la contrastación de proposiciones mediante datos [20]. En el estudio se procesaron RSSI, SNR, MCS y tasa de datos DL; además, los resultados se expresaron mediante exactitud, precisión, recall, F1-score, AUC, MAE, RMSE, MAPE, tiempo de anticipación y tasa de falsas alertas.</w:t>
      </w:r>
    </w:p>
    <w:p>
      <w:pPr>
        <w:spacing w:line="360" w:lineRule="auto" w:after="0"/>
        <w:ind w:firstLine="706"/>
        <w:jc w:val="both"/>
      </w:pPr>
      <w:r>
        <w:t>Por su finalidad, la investigación fue aplicada, pues empleó conocimientos de analítica de datos, aprendizaje automático y series temporales para resolver una necesidad concreta de monitoreo del radioenlace rural. El Manual de Frascati define la investigación aplicada como aquella orientada a adquirir conocimiento dirigido principalmente hacia un objetivo práctico específico [16]. En este caso, el objetivo práctico fue convertir la telemetría operacional en diagnósticos, anomalías, pronósticos y alertas que pudieran apoyar la supervisión preventiva del enlace.</w:t>
      </w:r>
    </w:p>
    <w:p>
      <w:pPr>
        <w:spacing w:line="360" w:lineRule="auto" w:after="0"/>
        <w:ind w:firstLine="706"/>
        <w:jc w:val="both"/>
      </w:pPr>
      <w:r>
        <w:t>El nivel fue predictivo. Shmueli diferencia la explicación de la predicción y señala que esta última se orienta a generar estimaciones precisas para observaciones nuevas, sin que ello implique necesariamente establecer relaciones causales [17]. Conforme con este criterio, el estudio estimó RSSI DL, MCS DL y tasa DL para horizontes de 5, 15 y 30 minutos, y clasificó el estado operacional futuro a 15 minutos. La investigación no pretendió demostrar causalidad entre las variables radioeléctricas o meteorológicas; evaluó la capacidad de generalización temporal de los modelos.</w:t>
      </w:r>
    </w:p>
    <w:p>
      <w:pPr>
        <w:spacing w:line="360" w:lineRule="auto" w:after="0"/>
        <w:ind w:firstLine="706"/>
        <w:jc w:val="both"/>
      </w:pPr>
      <w:r>
        <w:t>El diseño fue no experimental porque las variables se observaron durante el funcionamiento real del radioenlace sin asignar tratamientos ni manipular deliberadamente las condiciones de operación. También fue longitudinal porque los registros se recopilaron durante un periodo continuo y se analizaron conservando su secuencia temporal. Hernández-Sampieri y Mendoza señalan que los diseños no experimentales estudian los fenómenos tal como ocurren y que los longitudinales examinan cambios a través del tiempo [20]. La unidad de observación permaneció en operación, mientras que el estudio recuperó y procesó su telemetría histórica.</w:t>
      </w:r>
    </w:p>
    <w:p>
      <w:pPr>
        <w:spacing w:line="360" w:lineRule="auto" w:after="0"/>
        <w:ind w:firstLine="706"/>
        <w:jc w:val="both"/>
      </w:pPr>
      <w:r>
        <w:t>Se aplicó el método hipotético-deductivo. A partir de la hipótesis general y de las hipótesis específicas se derivaron resultados observables: calidad del conjunto integrado, funcionamiento modular, superioridad frente a modelos de referencia, capacidad de anticipación e identificación de indicadores influyentes. Estas proposiciones se contrastaron con evidencia cuantitativa obtenida en el conjunto de prueba cronológicamente posterior al entrenamiento.</w:t>
      </w:r>
    </w:p>
    <w:p>
      <w:pPr>
        <w:spacing w:line="360" w:lineRule="auto" w:after="0"/>
        <w:ind w:firstLine="706"/>
        <w:jc w:val="both"/>
      </w:pPr>
      <w:r>
        <w:t>La construcción del sistema se apoyó en la ciencia del diseño. Este paradigma busca ampliar capacidades mediante la creación y evaluación rigurosa de artefactos destinados a resolver problemas relevantes [18]. El artefacto desarrollado estuvo constituido por los módulos de preparación de datos, clasificación operacional, detección de anomalías, pronóstico temporal, evaluación comparativa y explicabilidad. Su evaluación no se limitó a verificar que el código se ejecutara, sino que examinó su desempeño con datos no utilizados durante el ajuste.</w:t>
      </w:r>
    </w:p>
    <w:p>
      <w:pPr>
        <w:spacing w:line="360" w:lineRule="auto" w:after="0"/>
        <w:ind w:firstLine="706"/>
        <w:jc w:val="both"/>
      </w:pPr>
      <w:r>
        <w:t>La evaluación empleó una estrategia computacional comparativa. Los mismos periodos de prueba se utilizaron para contrastar persistencia, regresión Ridge e HistGradientBoosting. La separación cronológica evitó que observaciones futuras intervinieran en el entrenamiento, principio recomendado para evaluar pronósticos de series temporales [14]. El carácter comparativo correspondió al procedimiento de evaluación del artefacto y no modificó la clasificación del nivel predictivo.</w:t>
      </w:r>
    </w:p>
    <w:p>
      <w:r>
        <w:br w:type="page"/>
      </w:r>
    </w:p>
    <w:p>
      <w:pPr>
        <w:spacing w:line="360" w:lineRule="auto" w:after="0"/>
        <w:ind w:firstLine="706"/>
        <w:jc w:val="both"/>
        <w:keepNext/>
      </w:pPr>
      <w:r>
        <w:t>La Tabla 1 sintetiza las clasificaciones metodológicas y su aplicación concreta en la investigación.</w:t>
      </w:r>
    </w:p>
    <w:p>
      <w:pPr>
        <w:spacing w:before="120" w:after="40"/>
        <w:keepNext/>
      </w:pPr>
      <w:r>
        <w:rPr>
          <w:rFonts w:ascii="Times New Roman" w:hAnsi="Times New Roman"/>
          <w:b/>
          <w:sz w:val="20"/>
        </w:rPr>
        <w:t>Tabla 1. Clasificación metodológica de la investigación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800"/>
            <w:shd w:fill="D9EAF7"/>
            <w:vAlign w:val="center"/>
            <w:tcMar>
              <w:top w:w="70" w:type="dxa"/>
              <w:start w:w="90" w:type="dxa"/>
              <w:bottom w:w="70" w:type="dxa"/>
              <w:end w:w="90" w:type="dxa"/>
            </w:tcMar>
          </w:tcPr>
          <w:p>
            <w:pPr>
              <w:spacing w:after="0"/>
              <w:jc w:val="center"/>
            </w:pPr>
            <w:r>
              <w:rPr>
                <w:rFonts w:ascii="Times New Roman" w:hAnsi="Times New Roman"/>
                <w:b/>
                <w:sz w:val="16"/>
              </w:rPr>
              <w:t>Componente</w:t>
            </w:r>
          </w:p>
        </w:tc>
        <w:tc>
          <w:tcPr>
            <w:tcW w:type="dxa" w:w="2232"/>
            <w:shd w:fill="D9EAF7"/>
            <w:vAlign w:val="center"/>
            <w:tcMar>
              <w:top w:w="70" w:type="dxa"/>
              <w:start w:w="90" w:type="dxa"/>
              <w:bottom w:w="70" w:type="dxa"/>
              <w:end w:w="90" w:type="dxa"/>
            </w:tcMar>
          </w:tcPr>
          <w:p>
            <w:pPr>
              <w:spacing w:after="0"/>
              <w:jc w:val="center"/>
            </w:pPr>
            <w:r>
              <w:rPr>
                <w:rFonts w:ascii="Times New Roman" w:hAnsi="Times New Roman"/>
                <w:b/>
                <w:sz w:val="16"/>
              </w:rPr>
              <w:t>Clasificación</w:t>
            </w:r>
          </w:p>
        </w:tc>
        <w:tc>
          <w:tcPr>
            <w:tcW w:type="dxa" w:w="4968"/>
            <w:shd w:fill="D9EAF7"/>
            <w:vAlign w:val="center"/>
            <w:tcMar>
              <w:top w:w="70" w:type="dxa"/>
              <w:start w:w="90" w:type="dxa"/>
              <w:bottom w:w="70" w:type="dxa"/>
              <w:end w:w="90" w:type="dxa"/>
            </w:tcMar>
          </w:tcPr>
          <w:p>
            <w:pPr>
              <w:spacing w:after="0"/>
              <w:jc w:val="center"/>
            </w:pPr>
            <w:r>
              <w:rPr>
                <w:rFonts w:ascii="Times New Roman" w:hAnsi="Times New Roman"/>
                <w:b/>
                <w:sz w:val="16"/>
              </w:rPr>
              <w:t>Aplicación en el estudio</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Enfoque</w:t>
            </w:r>
          </w:p>
        </w:tc>
        <w:tc>
          <w:tcPr>
            <w:tcW w:type="dxa" w:w="2232"/>
            <w:vAlign w:val="center"/>
            <w:tcMar>
              <w:top w:w="70" w:type="dxa"/>
              <w:start w:w="90" w:type="dxa"/>
              <w:bottom w:w="70" w:type="dxa"/>
              <w:end w:w="90" w:type="dxa"/>
            </w:tcMar>
          </w:tcPr>
          <w:p>
            <w:pPr>
              <w:spacing w:after="0" w:line="240" w:lineRule="auto"/>
              <w:jc w:val="center"/>
            </w:pPr>
            <w:r>
              <w:rPr>
                <w:rFonts w:ascii="Times New Roman" w:hAnsi="Times New Roman"/>
                <w:sz w:val="16"/>
              </w:rPr>
              <w:t>Cuantitativo</w:t>
            </w:r>
          </w:p>
        </w:tc>
        <w:tc>
          <w:tcPr>
            <w:tcW w:type="dxa" w:w="4968"/>
            <w:vAlign w:val="center"/>
            <w:tcMar>
              <w:top w:w="70" w:type="dxa"/>
              <w:start w:w="90" w:type="dxa"/>
              <w:bottom w:w="70" w:type="dxa"/>
              <w:end w:w="90" w:type="dxa"/>
            </w:tcMar>
          </w:tcPr>
          <w:p>
            <w:pPr>
              <w:spacing w:after="0" w:line="240" w:lineRule="auto"/>
              <w:jc w:val="center"/>
            </w:pPr>
            <w:r>
              <w:rPr>
                <w:rFonts w:ascii="Times New Roman" w:hAnsi="Times New Roman"/>
                <w:sz w:val="16"/>
              </w:rPr>
              <w:t>Procesamiento de telemetría numérica y evaluación mediante métricas.</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Tipo</w:t>
            </w:r>
          </w:p>
        </w:tc>
        <w:tc>
          <w:tcPr>
            <w:tcW w:type="dxa" w:w="2232"/>
            <w:vAlign w:val="center"/>
            <w:tcMar>
              <w:top w:w="70" w:type="dxa"/>
              <w:start w:w="90" w:type="dxa"/>
              <w:bottom w:w="70" w:type="dxa"/>
              <w:end w:w="90" w:type="dxa"/>
            </w:tcMar>
          </w:tcPr>
          <w:p>
            <w:pPr>
              <w:spacing w:after="0" w:line="240" w:lineRule="auto"/>
              <w:jc w:val="center"/>
            </w:pPr>
            <w:r>
              <w:rPr>
                <w:rFonts w:ascii="Times New Roman" w:hAnsi="Times New Roman"/>
                <w:sz w:val="16"/>
              </w:rPr>
              <w:t>Aplicada</w:t>
            </w:r>
          </w:p>
        </w:tc>
        <w:tc>
          <w:tcPr>
            <w:tcW w:type="dxa" w:w="4968"/>
            <w:vAlign w:val="center"/>
            <w:tcMar>
              <w:top w:w="70" w:type="dxa"/>
              <w:start w:w="90" w:type="dxa"/>
              <w:bottom w:w="70" w:type="dxa"/>
              <w:end w:w="90" w:type="dxa"/>
            </w:tcMar>
          </w:tcPr>
          <w:p>
            <w:pPr>
              <w:spacing w:after="0" w:line="240" w:lineRule="auto"/>
              <w:jc w:val="center"/>
            </w:pPr>
            <w:r>
              <w:rPr>
                <w:rFonts w:ascii="Times New Roman" w:hAnsi="Times New Roman"/>
                <w:sz w:val="16"/>
              </w:rPr>
              <w:t>Desarrollo de una solución para diagnóstico y pronóstico operacional.</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Nivel</w:t>
            </w:r>
          </w:p>
        </w:tc>
        <w:tc>
          <w:tcPr>
            <w:tcW w:type="dxa" w:w="2232"/>
            <w:vAlign w:val="center"/>
            <w:tcMar>
              <w:top w:w="70" w:type="dxa"/>
              <w:start w:w="90" w:type="dxa"/>
              <w:bottom w:w="70" w:type="dxa"/>
              <w:end w:w="90" w:type="dxa"/>
            </w:tcMar>
          </w:tcPr>
          <w:p>
            <w:pPr>
              <w:spacing w:after="0" w:line="240" w:lineRule="auto"/>
              <w:jc w:val="center"/>
            </w:pPr>
            <w:r>
              <w:rPr>
                <w:rFonts w:ascii="Times New Roman" w:hAnsi="Times New Roman"/>
                <w:sz w:val="16"/>
              </w:rPr>
              <w:t>Predictivo</w:t>
            </w:r>
          </w:p>
        </w:tc>
        <w:tc>
          <w:tcPr>
            <w:tcW w:type="dxa" w:w="4968"/>
            <w:vAlign w:val="center"/>
            <w:tcMar>
              <w:top w:w="70" w:type="dxa"/>
              <w:start w:w="90" w:type="dxa"/>
              <w:bottom w:w="70" w:type="dxa"/>
              <w:end w:w="90" w:type="dxa"/>
            </w:tcMar>
          </w:tcPr>
          <w:p>
            <w:pPr>
              <w:spacing w:after="0" w:line="240" w:lineRule="auto"/>
              <w:jc w:val="center"/>
            </w:pPr>
            <w:r>
              <w:rPr>
                <w:rFonts w:ascii="Times New Roman" w:hAnsi="Times New Roman"/>
                <w:sz w:val="16"/>
              </w:rPr>
              <w:t>Estimación de indicadores y estados en horizontes futuros.</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Diseño</w:t>
            </w:r>
          </w:p>
        </w:tc>
        <w:tc>
          <w:tcPr>
            <w:tcW w:type="dxa" w:w="2232"/>
            <w:vAlign w:val="center"/>
            <w:tcMar>
              <w:top w:w="70" w:type="dxa"/>
              <w:start w:w="90" w:type="dxa"/>
              <w:bottom w:w="70" w:type="dxa"/>
              <w:end w:w="90" w:type="dxa"/>
            </w:tcMar>
          </w:tcPr>
          <w:p>
            <w:pPr>
              <w:spacing w:after="0" w:line="240" w:lineRule="auto"/>
              <w:jc w:val="center"/>
            </w:pPr>
            <w:r>
              <w:rPr>
                <w:rFonts w:ascii="Times New Roman" w:hAnsi="Times New Roman"/>
                <w:sz w:val="16"/>
              </w:rPr>
              <w:t>No experimental longitudinal</w:t>
            </w:r>
          </w:p>
        </w:tc>
        <w:tc>
          <w:tcPr>
            <w:tcW w:type="dxa" w:w="4968"/>
            <w:vAlign w:val="center"/>
            <w:tcMar>
              <w:top w:w="70" w:type="dxa"/>
              <w:start w:w="90" w:type="dxa"/>
              <w:bottom w:w="70" w:type="dxa"/>
              <w:end w:w="90" w:type="dxa"/>
            </w:tcMar>
          </w:tcPr>
          <w:p>
            <w:pPr>
              <w:spacing w:after="0" w:line="240" w:lineRule="auto"/>
              <w:jc w:val="center"/>
            </w:pPr>
            <w:r>
              <w:rPr>
                <w:rFonts w:ascii="Times New Roman" w:hAnsi="Times New Roman"/>
                <w:sz w:val="16"/>
              </w:rPr>
              <w:t>Observación del enlace sin intervención y conservación del orden temporal.</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Método</w:t>
            </w:r>
          </w:p>
        </w:tc>
        <w:tc>
          <w:tcPr>
            <w:tcW w:type="dxa" w:w="2232"/>
            <w:vAlign w:val="center"/>
            <w:tcMar>
              <w:top w:w="70" w:type="dxa"/>
              <w:start w:w="90" w:type="dxa"/>
              <w:bottom w:w="70" w:type="dxa"/>
              <w:end w:w="90" w:type="dxa"/>
            </w:tcMar>
          </w:tcPr>
          <w:p>
            <w:pPr>
              <w:spacing w:after="0" w:line="240" w:lineRule="auto"/>
              <w:jc w:val="center"/>
            </w:pPr>
            <w:r>
              <w:rPr>
                <w:rFonts w:ascii="Times New Roman" w:hAnsi="Times New Roman"/>
                <w:sz w:val="16"/>
              </w:rPr>
              <w:t>Hipotético-deductivo</w:t>
            </w:r>
          </w:p>
        </w:tc>
        <w:tc>
          <w:tcPr>
            <w:tcW w:type="dxa" w:w="4968"/>
            <w:vAlign w:val="center"/>
            <w:tcMar>
              <w:top w:w="70" w:type="dxa"/>
              <w:start w:w="90" w:type="dxa"/>
              <w:bottom w:w="70" w:type="dxa"/>
              <w:end w:w="90" w:type="dxa"/>
            </w:tcMar>
          </w:tcPr>
          <w:p>
            <w:pPr>
              <w:spacing w:after="0" w:line="240" w:lineRule="auto"/>
              <w:jc w:val="center"/>
            </w:pPr>
            <w:r>
              <w:rPr>
                <w:rFonts w:ascii="Times New Roman" w:hAnsi="Times New Roman"/>
                <w:sz w:val="16"/>
              </w:rPr>
              <w:t>Derivación y contrastación de resultados esperados a partir de hipótesis.</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Desarrollo</w:t>
            </w:r>
          </w:p>
        </w:tc>
        <w:tc>
          <w:tcPr>
            <w:tcW w:type="dxa" w:w="2232"/>
            <w:vAlign w:val="center"/>
            <w:tcMar>
              <w:top w:w="70" w:type="dxa"/>
              <w:start w:w="90" w:type="dxa"/>
              <w:bottom w:w="70" w:type="dxa"/>
              <w:end w:w="90" w:type="dxa"/>
            </w:tcMar>
          </w:tcPr>
          <w:p>
            <w:pPr>
              <w:spacing w:after="0" w:line="240" w:lineRule="auto"/>
              <w:jc w:val="center"/>
            </w:pPr>
            <w:r>
              <w:rPr>
                <w:rFonts w:ascii="Times New Roman" w:hAnsi="Times New Roman"/>
                <w:sz w:val="16"/>
              </w:rPr>
              <w:t>Ciencia del diseño</w:t>
            </w:r>
          </w:p>
        </w:tc>
        <w:tc>
          <w:tcPr>
            <w:tcW w:type="dxa" w:w="4968"/>
            <w:vAlign w:val="center"/>
            <w:tcMar>
              <w:top w:w="70" w:type="dxa"/>
              <w:start w:w="90" w:type="dxa"/>
              <w:bottom w:w="70" w:type="dxa"/>
              <w:end w:w="90" w:type="dxa"/>
            </w:tcMar>
          </w:tcPr>
          <w:p>
            <w:pPr>
              <w:spacing w:after="0" w:line="240" w:lineRule="auto"/>
              <w:jc w:val="center"/>
            </w:pPr>
            <w:r>
              <w:rPr>
                <w:rFonts w:ascii="Times New Roman" w:hAnsi="Times New Roman"/>
                <w:sz w:val="16"/>
              </w:rPr>
              <w:t>Construcción y evaluación rigurosa del sistema inteligente.</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Evaluación</w:t>
            </w:r>
          </w:p>
        </w:tc>
        <w:tc>
          <w:tcPr>
            <w:tcW w:type="dxa" w:w="2232"/>
            <w:vAlign w:val="center"/>
            <w:tcMar>
              <w:top w:w="70" w:type="dxa"/>
              <w:start w:w="90" w:type="dxa"/>
              <w:bottom w:w="70" w:type="dxa"/>
              <w:end w:w="90" w:type="dxa"/>
            </w:tcMar>
          </w:tcPr>
          <w:p>
            <w:pPr>
              <w:spacing w:after="0" w:line="240" w:lineRule="auto"/>
              <w:jc w:val="center"/>
            </w:pPr>
            <w:r>
              <w:rPr>
                <w:rFonts w:ascii="Times New Roman" w:hAnsi="Times New Roman"/>
                <w:sz w:val="16"/>
              </w:rPr>
              <w:t>Computacional comparativa</w:t>
            </w:r>
          </w:p>
        </w:tc>
        <w:tc>
          <w:tcPr>
            <w:tcW w:type="dxa" w:w="4968"/>
            <w:vAlign w:val="center"/>
            <w:tcMar>
              <w:top w:w="70" w:type="dxa"/>
              <w:start w:w="90" w:type="dxa"/>
              <w:bottom w:w="70" w:type="dxa"/>
              <w:end w:w="90" w:type="dxa"/>
            </w:tcMar>
          </w:tcPr>
          <w:p>
            <w:pPr>
              <w:spacing w:after="0" w:line="240" w:lineRule="auto"/>
              <w:jc w:val="center"/>
            </w:pPr>
            <w:r>
              <w:rPr>
                <w:rFonts w:ascii="Times New Roman" w:hAnsi="Times New Roman"/>
                <w:sz w:val="16"/>
              </w:rPr>
              <w:t>Comparación cronológica con persistencia y modelos de referencia.</w:t>
            </w:r>
          </w:p>
        </w:tc>
      </w:tr>
    </w:tbl>
    <w:p>
      <w:pPr>
        <w:spacing w:before="40" w:after="120"/>
      </w:pPr>
      <w:r>
        <w:rPr>
          <w:rFonts w:ascii="Times New Roman" w:hAnsi="Times New Roman"/>
          <w:i/>
          <w:sz w:val="18"/>
        </w:rPr>
        <w:t>Fuente: elaboración propia.</w:t>
      </w:r>
    </w:p>
    <w:p>
      <w:pPr>
        <w:spacing w:line="360" w:lineRule="auto" w:after="0"/>
        <w:ind w:firstLine="706"/>
        <w:jc w:val="both"/>
      </w:pPr>
      <w:r>
        <w:t>La síntesis muestra que las clasificaciones no fueron independientes: el enfoque cuantitativo proporcionó las mediciones; el nivel predictivo definió las tareas futuras; el diseño longitudinal obligó a preservar el orden temporal; y la ciencia del diseño articuló la construcción y evaluación del artefacto.</w:t>
      </w:r>
    </w:p>
    <w:p>
      <w:pPr>
        <w:pStyle w:val="Heading1"/>
        <w:keepNext/>
      </w:pPr>
      <w:r>
        <w:t>3.2. Población, muestra y unidad de análisis</w:t>
      </w:r>
    </w:p>
    <w:p>
      <w:pPr>
        <w:spacing w:line="360" w:lineRule="auto" w:after="0"/>
        <w:ind w:firstLine="706"/>
        <w:jc w:val="both"/>
      </w:pPr>
      <w:r>
        <w:t>La población objetivo estuvo constituida por todos los registros de telemetría que podía generar el radioenlace rural altoandino Cuñacales-San José durante el periodo de estudio. Cada registro podía contener fecha y hora, rol del equipo, RSSI de subida y bajada, SNR de subida y bajada, MCS de subida y bajada, tasa DL y otros campos técnicos disponibles.</w:t>
      </w:r>
    </w:p>
    <w:p>
      <w:pPr>
        <w:spacing w:line="360" w:lineRule="auto" w:after="0"/>
        <w:ind w:firstLine="706"/>
        <w:jc w:val="both"/>
      </w:pPr>
      <w:r>
        <w:t>La población accesible estuvo conformada por los registros AP recuperados de 90 archivos diarios entre el 26 de enero y el 31 de mayo de 2026. Después de ordenar las marcas temporales y conservar la última ocurrencia de cada instante duplicado, quedaron 173 513 registros AP. Se trabajó con todos los registros accesibles que cumplieron los criterios establecidos; por ello, no se efectuó selección aleatoria. El procedimiento correspondió a una utilización censal de la población accesible seguida de filtros técnicos de elegibilidad.</w:t>
      </w:r>
    </w:p>
    <w:p>
      <w:pPr>
        <w:spacing w:line="360" w:lineRule="auto" w:after="0"/>
        <w:ind w:firstLine="706"/>
        <w:jc w:val="both"/>
      </w:pPr>
      <w:r>
        <w:t>La muestra analítica principal estuvo formada por 118 458 minutos que contuvieron al menos una métrica válida después de consolidar la telemetría en una malla de un minuto. El tamaño efectivo no fue único para todas las tareas: 117 911 minutos presentaron información multivariable completa para la detección de anomalías; la clasificación final a 15 minutos utilizó 17 754 casos de prueba; y los pronósticos utilizaron entre 17 705 y 17 754 casos de prueba, según el indicador y el horizonte. Esta variación se debió a la disponibilidad del valor objetivo futuro y no a un muestreo adicional.</w:t>
      </w:r>
    </w:p>
    <w:p>
      <w:pPr>
        <w:spacing w:line="360" w:lineRule="auto" w:after="0"/>
        <w:ind w:firstLine="706"/>
        <w:jc w:val="both"/>
      </w:pPr>
      <w:r>
        <w:t>Se incluyeron registros correspondientes al rol AP, con marca temporal interpretable y al menos una variable técnica válida. Se excluyeron duplicados temporales, filas corruptas, registros sin correspondencia con el enlace y valores centinela físicamente incompatibles con una medición radioeléctrica; específicamente, RSSI igual o mayor que 0 dBm y SNR igual o menor que 0 dB se trataron como ausentes. Los intervalos sin adquisición se conservaron como ausencias explícitas y no se convirtieron en estados normales.</w:t>
      </w:r>
    </w:p>
    <w:p>
      <w:pPr>
        <w:spacing w:line="360" w:lineRule="auto" w:after="0"/>
        <w:ind w:firstLine="706"/>
        <w:jc w:val="both"/>
      </w:pPr>
      <w:r>
        <w:t>La unidad de observación fue el radioenlace Cuñacales-San José, del cual se obtuvo la telemetría. La unidad de análisis fue el registro temporal consolidado por minuto, constituido por los indicadores disponibles en el mismo intervalo. Para el análisis de anticipación también se consideró el evento no normal definido por la presencia futura de un estado degradado o crítico. Esta distinción permitió separar la infraestructura observada de la entidad estadística procesada.</w:t>
      </w:r>
    </w:p>
    <w:p>
      <w:pPr>
        <w:spacing w:line="360" w:lineRule="auto" w:after="0"/>
        <w:ind w:firstLine="706"/>
        <w:jc w:val="both"/>
      </w:pPr>
      <w:r>
        <w:t>La Tabla 2 presenta la delimitación cuantitativa de la población y de las muestras utilizadas.</w:t>
      </w:r>
    </w:p>
    <w:p>
      <w:pPr>
        <w:spacing w:before="120" w:after="40"/>
        <w:keepNext/>
      </w:pPr>
      <w:r>
        <w:rPr>
          <w:rFonts w:ascii="Times New Roman" w:hAnsi="Times New Roman"/>
          <w:b/>
          <w:sz w:val="20"/>
        </w:rPr>
        <w:t>Tabla 2. Población accesible y muestras analíticas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3456"/>
            <w:shd w:fill="D9EAF7"/>
            <w:vAlign w:val="center"/>
            <w:tcMar>
              <w:top w:w="70" w:type="dxa"/>
              <w:start w:w="90" w:type="dxa"/>
              <w:bottom w:w="70" w:type="dxa"/>
              <w:end w:w="90" w:type="dxa"/>
            </w:tcMar>
          </w:tcPr>
          <w:p>
            <w:pPr>
              <w:spacing w:after="0"/>
              <w:jc w:val="center"/>
            </w:pPr>
            <w:r>
              <w:rPr>
                <w:rFonts w:ascii="Times New Roman" w:hAnsi="Times New Roman"/>
                <w:b/>
                <w:sz w:val="17"/>
              </w:rPr>
              <w:t>Conjunto</w:t>
            </w:r>
          </w:p>
        </w:tc>
        <w:tc>
          <w:tcPr>
            <w:tcW w:type="dxa" w:w="1800"/>
            <w:shd w:fill="D9EAF7"/>
            <w:vAlign w:val="center"/>
            <w:tcMar>
              <w:top w:w="70" w:type="dxa"/>
              <w:start w:w="90" w:type="dxa"/>
              <w:bottom w:w="70" w:type="dxa"/>
              <w:end w:w="90" w:type="dxa"/>
            </w:tcMar>
          </w:tcPr>
          <w:p>
            <w:pPr>
              <w:spacing w:after="0"/>
              <w:jc w:val="center"/>
            </w:pPr>
            <w:r>
              <w:rPr>
                <w:rFonts w:ascii="Times New Roman" w:hAnsi="Times New Roman"/>
                <w:b/>
                <w:sz w:val="17"/>
              </w:rPr>
              <w:t>Cantidad</w:t>
            </w:r>
          </w:p>
        </w:tc>
        <w:tc>
          <w:tcPr>
            <w:tcW w:type="dxa" w:w="3744"/>
            <w:shd w:fill="D9EAF7"/>
            <w:vAlign w:val="center"/>
            <w:tcMar>
              <w:top w:w="70" w:type="dxa"/>
              <w:start w:w="90" w:type="dxa"/>
              <w:bottom w:w="70" w:type="dxa"/>
              <w:end w:w="90" w:type="dxa"/>
            </w:tcMar>
          </w:tcPr>
          <w:p>
            <w:pPr>
              <w:spacing w:after="0"/>
              <w:jc w:val="center"/>
            </w:pPr>
            <w:r>
              <w:rPr>
                <w:rFonts w:ascii="Times New Roman" w:hAnsi="Times New Roman"/>
                <w:b/>
                <w:sz w:val="17"/>
              </w:rPr>
              <w:t>Función metodológica</w:t>
            </w:r>
          </w:p>
        </w:tc>
      </w:tr>
      <w:tr>
        <w:tc>
          <w:tcPr>
            <w:tcW w:type="dxa" w:w="3456"/>
            <w:vAlign w:val="center"/>
            <w:tcMar>
              <w:top w:w="70" w:type="dxa"/>
              <w:start w:w="90" w:type="dxa"/>
              <w:bottom w:w="70" w:type="dxa"/>
              <w:end w:w="90" w:type="dxa"/>
            </w:tcMar>
          </w:tcPr>
          <w:p>
            <w:pPr>
              <w:spacing w:after="0" w:line="240" w:lineRule="auto"/>
              <w:jc w:val="left"/>
            </w:pPr>
            <w:r>
              <w:rPr>
                <w:rFonts w:ascii="Times New Roman" w:hAnsi="Times New Roman"/>
                <w:sz w:val="17"/>
              </w:rPr>
              <w:t>Archivos diarios</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7"/>
              </w:rPr>
              <w:t>90</w:t>
            </w:r>
          </w:p>
        </w:tc>
        <w:tc>
          <w:tcPr>
            <w:tcW w:type="dxa" w:w="3744"/>
            <w:vAlign w:val="center"/>
            <w:tcMar>
              <w:top w:w="70" w:type="dxa"/>
              <w:start w:w="90" w:type="dxa"/>
              <w:bottom w:w="70" w:type="dxa"/>
              <w:end w:w="90" w:type="dxa"/>
            </w:tcMar>
          </w:tcPr>
          <w:p>
            <w:pPr>
              <w:spacing w:after="0" w:line="240" w:lineRule="auto"/>
              <w:jc w:val="center"/>
            </w:pPr>
            <w:r>
              <w:rPr>
                <w:rFonts w:ascii="Times New Roman" w:hAnsi="Times New Roman"/>
                <w:sz w:val="17"/>
              </w:rPr>
              <w:t>Fuentes originales de telemetría.</w:t>
            </w:r>
          </w:p>
        </w:tc>
      </w:tr>
      <w:tr>
        <w:tc>
          <w:tcPr>
            <w:tcW w:type="dxa" w:w="3456"/>
            <w:vAlign w:val="center"/>
            <w:tcMar>
              <w:top w:w="70" w:type="dxa"/>
              <w:start w:w="90" w:type="dxa"/>
              <w:bottom w:w="70" w:type="dxa"/>
              <w:end w:w="90" w:type="dxa"/>
            </w:tcMar>
          </w:tcPr>
          <w:p>
            <w:pPr>
              <w:spacing w:after="0" w:line="240" w:lineRule="auto"/>
              <w:jc w:val="left"/>
            </w:pPr>
            <w:r>
              <w:rPr>
                <w:rFonts w:ascii="Times New Roman" w:hAnsi="Times New Roman"/>
                <w:sz w:val="17"/>
              </w:rPr>
              <w:t>Registros AP depurados por instante</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7"/>
              </w:rPr>
              <w:t>173 513</w:t>
            </w:r>
          </w:p>
        </w:tc>
        <w:tc>
          <w:tcPr>
            <w:tcW w:type="dxa" w:w="3744"/>
            <w:vAlign w:val="center"/>
            <w:tcMar>
              <w:top w:w="70" w:type="dxa"/>
              <w:start w:w="90" w:type="dxa"/>
              <w:bottom w:w="70" w:type="dxa"/>
              <w:end w:w="90" w:type="dxa"/>
            </w:tcMar>
          </w:tcPr>
          <w:p>
            <w:pPr>
              <w:spacing w:after="0" w:line="240" w:lineRule="auto"/>
              <w:jc w:val="center"/>
            </w:pPr>
            <w:r>
              <w:rPr>
                <w:rFonts w:ascii="Times New Roman" w:hAnsi="Times New Roman"/>
                <w:sz w:val="17"/>
              </w:rPr>
              <w:t>Población accesible utilizada.</w:t>
            </w:r>
          </w:p>
        </w:tc>
      </w:tr>
      <w:tr>
        <w:tc>
          <w:tcPr>
            <w:tcW w:type="dxa" w:w="3456"/>
            <w:vAlign w:val="center"/>
            <w:tcMar>
              <w:top w:w="70" w:type="dxa"/>
              <w:start w:w="90" w:type="dxa"/>
              <w:bottom w:w="70" w:type="dxa"/>
              <w:end w:w="90" w:type="dxa"/>
            </w:tcMar>
          </w:tcPr>
          <w:p>
            <w:pPr>
              <w:spacing w:after="0" w:line="240" w:lineRule="auto"/>
              <w:jc w:val="left"/>
            </w:pPr>
            <w:r>
              <w:rPr>
                <w:rFonts w:ascii="Times New Roman" w:hAnsi="Times New Roman"/>
                <w:sz w:val="17"/>
              </w:rPr>
              <w:t>Malla temporal total</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7"/>
              </w:rPr>
              <w:t>180 025 min</w:t>
            </w:r>
          </w:p>
        </w:tc>
        <w:tc>
          <w:tcPr>
            <w:tcW w:type="dxa" w:w="3744"/>
            <w:vAlign w:val="center"/>
            <w:tcMar>
              <w:top w:w="70" w:type="dxa"/>
              <w:start w:w="90" w:type="dxa"/>
              <w:bottom w:w="70" w:type="dxa"/>
              <w:end w:w="90" w:type="dxa"/>
            </w:tcMar>
          </w:tcPr>
          <w:p>
            <w:pPr>
              <w:spacing w:after="0" w:line="240" w:lineRule="auto"/>
              <w:jc w:val="center"/>
            </w:pPr>
            <w:r>
              <w:rPr>
                <w:rFonts w:ascii="Times New Roman" w:hAnsi="Times New Roman"/>
                <w:sz w:val="17"/>
              </w:rPr>
              <w:t>Calendario completo del periodo.</w:t>
            </w:r>
          </w:p>
        </w:tc>
      </w:tr>
      <w:tr>
        <w:tc>
          <w:tcPr>
            <w:tcW w:type="dxa" w:w="3456"/>
            <w:vAlign w:val="center"/>
            <w:tcMar>
              <w:top w:w="70" w:type="dxa"/>
              <w:start w:w="90" w:type="dxa"/>
              <w:bottom w:w="70" w:type="dxa"/>
              <w:end w:w="90" w:type="dxa"/>
            </w:tcMar>
          </w:tcPr>
          <w:p>
            <w:pPr>
              <w:spacing w:after="0" w:line="240" w:lineRule="auto"/>
              <w:jc w:val="left"/>
            </w:pPr>
            <w:r>
              <w:rPr>
                <w:rFonts w:ascii="Times New Roman" w:hAnsi="Times New Roman"/>
                <w:sz w:val="17"/>
              </w:rPr>
              <w:t>Minutos con alguna observación</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7"/>
              </w:rPr>
              <w:t>118 458</w:t>
            </w:r>
          </w:p>
        </w:tc>
        <w:tc>
          <w:tcPr>
            <w:tcW w:type="dxa" w:w="3744"/>
            <w:vAlign w:val="center"/>
            <w:tcMar>
              <w:top w:w="70" w:type="dxa"/>
              <w:start w:w="90" w:type="dxa"/>
              <w:bottom w:w="70" w:type="dxa"/>
              <w:end w:w="90" w:type="dxa"/>
            </w:tcMar>
          </w:tcPr>
          <w:p>
            <w:pPr>
              <w:spacing w:after="0" w:line="240" w:lineRule="auto"/>
              <w:jc w:val="center"/>
            </w:pPr>
            <w:r>
              <w:rPr>
                <w:rFonts w:ascii="Times New Roman" w:hAnsi="Times New Roman"/>
                <w:sz w:val="17"/>
              </w:rPr>
              <w:t>Muestra analítica principal.</w:t>
            </w:r>
          </w:p>
        </w:tc>
      </w:tr>
      <w:tr>
        <w:tc>
          <w:tcPr>
            <w:tcW w:type="dxa" w:w="3456"/>
            <w:vAlign w:val="center"/>
            <w:tcMar>
              <w:top w:w="70" w:type="dxa"/>
              <w:start w:w="90" w:type="dxa"/>
              <w:bottom w:w="70" w:type="dxa"/>
              <w:end w:w="90" w:type="dxa"/>
            </w:tcMar>
          </w:tcPr>
          <w:p>
            <w:pPr>
              <w:spacing w:after="0" w:line="240" w:lineRule="auto"/>
              <w:jc w:val="left"/>
            </w:pPr>
            <w:r>
              <w:rPr>
                <w:rFonts w:ascii="Times New Roman" w:hAnsi="Times New Roman"/>
                <w:sz w:val="17"/>
              </w:rPr>
              <w:t>Minutos multivariables completos</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7"/>
              </w:rPr>
              <w:t>117 911</w:t>
            </w:r>
          </w:p>
        </w:tc>
        <w:tc>
          <w:tcPr>
            <w:tcW w:type="dxa" w:w="3744"/>
            <w:vAlign w:val="center"/>
            <w:tcMar>
              <w:top w:w="70" w:type="dxa"/>
              <w:start w:w="90" w:type="dxa"/>
              <w:bottom w:w="70" w:type="dxa"/>
              <w:end w:w="90" w:type="dxa"/>
            </w:tcMar>
          </w:tcPr>
          <w:p>
            <w:pPr>
              <w:spacing w:after="0" w:line="240" w:lineRule="auto"/>
              <w:jc w:val="center"/>
            </w:pPr>
            <w:r>
              <w:rPr>
                <w:rFonts w:ascii="Times New Roman" w:hAnsi="Times New Roman"/>
                <w:sz w:val="17"/>
              </w:rPr>
              <w:t>Ajuste y evaluación de anomalías.</w:t>
            </w:r>
          </w:p>
        </w:tc>
      </w:tr>
      <w:tr>
        <w:tc>
          <w:tcPr>
            <w:tcW w:type="dxa" w:w="3456"/>
            <w:vAlign w:val="center"/>
            <w:tcMar>
              <w:top w:w="70" w:type="dxa"/>
              <w:start w:w="90" w:type="dxa"/>
              <w:bottom w:w="70" w:type="dxa"/>
              <w:end w:w="90" w:type="dxa"/>
            </w:tcMar>
          </w:tcPr>
          <w:p>
            <w:pPr>
              <w:spacing w:after="0" w:line="240" w:lineRule="auto"/>
              <w:jc w:val="left"/>
            </w:pPr>
            <w:r>
              <w:rPr>
                <w:rFonts w:ascii="Times New Roman" w:hAnsi="Times New Roman"/>
                <w:sz w:val="17"/>
              </w:rPr>
              <w:t>Prueba de clasificación</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7"/>
              </w:rPr>
              <w:t>17 754</w:t>
            </w:r>
          </w:p>
        </w:tc>
        <w:tc>
          <w:tcPr>
            <w:tcW w:type="dxa" w:w="3744"/>
            <w:vAlign w:val="center"/>
            <w:tcMar>
              <w:top w:w="70" w:type="dxa"/>
              <w:start w:w="90" w:type="dxa"/>
              <w:bottom w:w="70" w:type="dxa"/>
              <w:end w:w="90" w:type="dxa"/>
            </w:tcMar>
          </w:tcPr>
          <w:p>
            <w:pPr>
              <w:spacing w:after="0" w:line="240" w:lineRule="auto"/>
              <w:jc w:val="center"/>
            </w:pPr>
            <w:r>
              <w:rPr>
                <w:rFonts w:ascii="Times New Roman" w:hAnsi="Times New Roman"/>
                <w:sz w:val="17"/>
              </w:rPr>
              <w:t>Evaluación final a 15 minutos.</w:t>
            </w:r>
          </w:p>
        </w:tc>
      </w:tr>
      <w:tr>
        <w:tc>
          <w:tcPr>
            <w:tcW w:type="dxa" w:w="3456"/>
            <w:vAlign w:val="center"/>
            <w:tcMar>
              <w:top w:w="70" w:type="dxa"/>
              <w:start w:w="90" w:type="dxa"/>
              <w:bottom w:w="70" w:type="dxa"/>
              <w:end w:w="90" w:type="dxa"/>
            </w:tcMar>
          </w:tcPr>
          <w:p>
            <w:pPr>
              <w:spacing w:after="0" w:line="240" w:lineRule="auto"/>
              <w:jc w:val="left"/>
            </w:pPr>
            <w:r>
              <w:rPr>
                <w:rFonts w:ascii="Times New Roman" w:hAnsi="Times New Roman"/>
                <w:sz w:val="17"/>
              </w:rPr>
              <w:t>Prueba de pronóstico</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sz w:val="17"/>
              </w:rPr>
              <w:t>17 705-17 754</w:t>
            </w:r>
          </w:p>
        </w:tc>
        <w:tc>
          <w:tcPr>
            <w:tcW w:type="dxa" w:w="3744"/>
            <w:vAlign w:val="center"/>
            <w:tcMar>
              <w:top w:w="70" w:type="dxa"/>
              <w:start w:w="90" w:type="dxa"/>
              <w:bottom w:w="70" w:type="dxa"/>
              <w:end w:w="90" w:type="dxa"/>
            </w:tcMar>
          </w:tcPr>
          <w:p>
            <w:pPr>
              <w:spacing w:after="0" w:line="240" w:lineRule="auto"/>
              <w:jc w:val="center"/>
            </w:pPr>
            <w:r>
              <w:rPr>
                <w:rFonts w:ascii="Times New Roman" w:hAnsi="Times New Roman"/>
                <w:sz w:val="17"/>
              </w:rPr>
              <w:t>Evaluación según variable y horizonte.</w:t>
            </w:r>
          </w:p>
        </w:tc>
      </w:tr>
    </w:tbl>
    <w:p>
      <w:pPr>
        <w:spacing w:before="40" w:after="120"/>
      </w:pPr>
      <w:r>
        <w:rPr>
          <w:rFonts w:ascii="Times New Roman" w:hAnsi="Times New Roman"/>
          <w:i/>
          <w:sz w:val="18"/>
        </w:rPr>
        <w:t>Fuente: elaboración propia a partir del conjunto maestro depurado.</w:t>
      </w:r>
    </w:p>
    <w:p>
      <w:pPr>
        <w:spacing w:line="360" w:lineRule="auto" w:after="0"/>
        <w:ind w:firstLine="706"/>
        <w:jc w:val="both"/>
      </w:pPr>
      <w:r>
        <w:t>La delimitación evidencia que la división de entrenamiento, validación y prueba no constituyó una nueva muestra poblacional, sino una partición interna para estimar la generalización de los modelos. Los cortes se calcularon sobre los minutos observados: 70 % para entrenamiento, 15 % para validación y 15 % para prueba final.</w:t>
      </w:r>
    </w:p>
    <w:p>
      <w:pPr>
        <w:pStyle w:val="Heading1"/>
        <w:keepNext/>
      </w:pPr>
      <w:r>
        <w:t>3.3. Técnicas e instrumentos de recolección de datos</w:t>
      </w:r>
    </w:p>
    <w:p>
      <w:pPr>
        <w:spacing w:line="360" w:lineRule="auto" w:after="0"/>
        <w:ind w:firstLine="706"/>
        <w:jc w:val="both"/>
      </w:pPr>
      <w:r>
        <w:t>La técnica principal fue la observación tecnológica sistemática, estructurada y no participante. Fue sistemática porque se ejecutó con una periodicidad definida; estructurada porque capturó campos previamente especificados; y no participante porque el procedimiento no modificó deliberadamente la operación del enlace. La telemetría fue recuperada de los equipos y archivos de gestión, manteniendo la fecha y hora de cada lectura.</w:t>
      </w:r>
    </w:p>
    <w:p>
      <w:pPr>
        <w:spacing w:line="360" w:lineRule="auto" w:after="0"/>
        <w:ind w:firstLine="706"/>
        <w:jc w:val="both"/>
      </w:pPr>
      <w:r>
        <w:t>El instrumento principal fue la ficha digital de registro de telemetría, materializada como una estructura tabular. Fue de elaboración propia y se construyó a partir de los campos disponibles en la fuente tecnológica y de los indicadores definidos en la operacionalización de variables. Incluyó marca temporal, rol, RSSI DL/UL, SNR DL/UL, MCS DL/UL, tasa DL, archivo de origen y campos auxiliares de trazabilidad.</w:t>
      </w:r>
    </w:p>
    <w:p>
      <w:pPr>
        <w:spacing w:line="360" w:lineRule="auto" w:after="0"/>
        <w:ind w:firstLine="706"/>
        <w:jc w:val="both"/>
      </w:pPr>
      <w:r>
        <w:t>Como técnica complementaria se utilizó el análisis documental de archivos digitales. Su instrumento fue la ficha de control de calidad, mediante la cual se registraron cantidad de archivos, cobertura temporal, duplicados, campos ausentes, lecturas centinela, continuidad y reglas de transformación. Esta ficha permitió documentar cada decisión aplicada sin modificar los archivos originales.</w:t>
      </w:r>
    </w:p>
    <w:p>
      <w:pPr>
        <w:spacing w:line="360" w:lineRule="auto" w:after="0"/>
        <w:ind w:firstLine="706"/>
        <w:jc w:val="both"/>
      </w:pPr>
      <w:r>
        <w:t>Para evaluar el artefacto se aplicó experimentación computacional, entendida como la ejecución controlada y reproducible de los modelos sobre particiones temporales predefinidas. Se utilizaron como instrumentos la ficha de verificación funcional y la matriz de resultados. La primera comprobó que cada módulo recibiera las entradas previstas y generara sus salidas; la segunda consolidó modelos, horizontes, tamaños de prueba, métricas e intervalos de confianza.</w:t>
      </w:r>
    </w:p>
    <w:p>
      <w:pPr>
        <w:spacing w:line="360" w:lineRule="auto" w:after="0"/>
        <w:ind w:firstLine="706"/>
        <w:jc w:val="both"/>
      </w:pPr>
      <w:r>
        <w:t>La identificación de degradaciones utilizó una ficha digital de episodios. Debido a que no se dispuso de una bitácora completa de incidentes confirmados, los estados normal, degradado y crítico se generaron como etiquetas proxy mediante percentiles calculados exclusivamente con el entrenamiento. La ficha registró estado, instante, horizonte, condición de alerta y resultado de la comparación. Esta decisión se mantuvo explícita para evitar presentar las etiquetas derivadas como verdad de terreno.</w:t>
      </w:r>
    </w:p>
    <w:p>
      <w:pPr>
        <w:spacing w:line="360" w:lineRule="auto" w:after="0"/>
        <w:ind w:firstLine="706"/>
        <w:jc w:val="both"/>
      </w:pPr>
      <w:r>
        <w:t>Los instrumentos fueron de elaboración propia y no correspondieron a escalas psicométricas. Por ello, no resultó pertinente calcular alfa de Cronbach, estadístico destinado a evaluar consistencia interna entre ítems que pretenden medir un mismo constructo. La validez se sustentó mediante correspondencia de cada campo con los indicadores operacionalizados, revisión de rangos técnicamente admisibles y trazabilidad con el archivo original. La confiabilidad tecnológica se verificó mediante estructura uniforme, procesamiento determinista, conservación de fuentes, detección de duplicados y reproducción de los resultados al ejecutar nuevamente el flujo. Las fichas y matrices deberán incorporarse en los anexos metodológicos con su versión final.</w:t>
      </w:r>
    </w:p>
    <w:p>
      <w:pPr>
        <w:spacing w:line="360" w:lineRule="auto" w:after="0"/>
        <w:ind w:firstLine="706"/>
        <w:jc w:val="both"/>
      </w:pPr>
      <w:r>
        <w:t>La Tabla 3 muestra la correspondencia entre las técnicas, los instrumentos, los datos obtenidos y sus controles de calidad.</w:t>
      </w:r>
    </w:p>
    <w:p>
      <w:pPr>
        <w:spacing w:before="120" w:after="40"/>
        <w:keepNext/>
      </w:pPr>
      <w:r>
        <w:rPr>
          <w:rFonts w:ascii="Times New Roman" w:hAnsi="Times New Roman"/>
          <w:b/>
          <w:sz w:val="20"/>
        </w:rPr>
        <w:t>Tabla 3. Técnicas e instrumentos de recolección y verificación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944"/>
            <w:shd w:fill="D9EAF7"/>
            <w:vAlign w:val="center"/>
            <w:tcMar>
              <w:top w:w="70" w:type="dxa"/>
              <w:start w:w="90" w:type="dxa"/>
              <w:bottom w:w="70" w:type="dxa"/>
              <w:end w:w="90" w:type="dxa"/>
            </w:tcMar>
          </w:tcPr>
          <w:p>
            <w:pPr>
              <w:spacing w:after="0"/>
              <w:jc w:val="center"/>
            </w:pPr>
            <w:r>
              <w:rPr>
                <w:rFonts w:ascii="Times New Roman" w:hAnsi="Times New Roman"/>
                <w:b/>
                <w:sz w:val="15"/>
              </w:rPr>
              <w:t>Técnica</w:t>
            </w:r>
          </w:p>
        </w:tc>
        <w:tc>
          <w:tcPr>
            <w:tcW w:type="dxa" w:w="2376"/>
            <w:shd w:fill="D9EAF7"/>
            <w:vAlign w:val="center"/>
            <w:tcMar>
              <w:top w:w="70" w:type="dxa"/>
              <w:start w:w="90" w:type="dxa"/>
              <w:bottom w:w="70" w:type="dxa"/>
              <w:end w:w="90" w:type="dxa"/>
            </w:tcMar>
          </w:tcPr>
          <w:p>
            <w:pPr>
              <w:spacing w:after="0"/>
              <w:jc w:val="center"/>
            </w:pPr>
            <w:r>
              <w:rPr>
                <w:rFonts w:ascii="Times New Roman" w:hAnsi="Times New Roman"/>
                <w:b/>
                <w:sz w:val="15"/>
              </w:rPr>
              <w:t>Instrumento</w:t>
            </w:r>
          </w:p>
        </w:tc>
        <w:tc>
          <w:tcPr>
            <w:tcW w:type="dxa" w:w="2520"/>
            <w:shd w:fill="D9EAF7"/>
            <w:vAlign w:val="center"/>
            <w:tcMar>
              <w:top w:w="70" w:type="dxa"/>
              <w:start w:w="90" w:type="dxa"/>
              <w:bottom w:w="70" w:type="dxa"/>
              <w:end w:w="90" w:type="dxa"/>
            </w:tcMar>
          </w:tcPr>
          <w:p>
            <w:pPr>
              <w:spacing w:after="0"/>
              <w:jc w:val="center"/>
            </w:pPr>
            <w:r>
              <w:rPr>
                <w:rFonts w:ascii="Times New Roman" w:hAnsi="Times New Roman"/>
                <w:b/>
                <w:sz w:val="15"/>
              </w:rPr>
              <w:t>Datos o evidencia</w:t>
            </w:r>
          </w:p>
        </w:tc>
        <w:tc>
          <w:tcPr>
            <w:tcW w:type="dxa" w:w="2520"/>
            <w:shd w:fill="D9EAF7"/>
            <w:vAlign w:val="center"/>
            <w:tcMar>
              <w:top w:w="70" w:type="dxa"/>
              <w:start w:w="90" w:type="dxa"/>
              <w:bottom w:w="70" w:type="dxa"/>
              <w:end w:w="90" w:type="dxa"/>
            </w:tcMar>
          </w:tcPr>
          <w:p>
            <w:pPr>
              <w:spacing w:after="0"/>
              <w:jc w:val="center"/>
            </w:pPr>
            <w:r>
              <w:rPr>
                <w:rFonts w:ascii="Times New Roman" w:hAnsi="Times New Roman"/>
                <w:b/>
                <w:sz w:val="15"/>
              </w:rPr>
              <w:t>Control aplicado</w:t>
            </w:r>
          </w:p>
        </w:tc>
      </w:tr>
      <w:tr>
        <w:tc>
          <w:tcPr>
            <w:tcW w:type="dxa" w:w="1944"/>
            <w:vAlign w:val="center"/>
            <w:tcMar>
              <w:top w:w="70" w:type="dxa"/>
              <w:start w:w="90" w:type="dxa"/>
              <w:bottom w:w="70" w:type="dxa"/>
              <w:end w:w="90" w:type="dxa"/>
            </w:tcMar>
          </w:tcPr>
          <w:p>
            <w:pPr>
              <w:spacing w:after="0" w:line="240" w:lineRule="auto"/>
              <w:jc w:val="left"/>
            </w:pPr>
            <w:r>
              <w:rPr>
                <w:rFonts w:ascii="Times New Roman" w:hAnsi="Times New Roman"/>
                <w:sz w:val="15"/>
              </w:rPr>
              <w:t>Observación tecnológica</w:t>
            </w:r>
          </w:p>
        </w:tc>
        <w:tc>
          <w:tcPr>
            <w:tcW w:type="dxa" w:w="2376"/>
            <w:vAlign w:val="center"/>
            <w:tcMar>
              <w:top w:w="70" w:type="dxa"/>
              <w:start w:w="90" w:type="dxa"/>
              <w:bottom w:w="70" w:type="dxa"/>
              <w:end w:w="90" w:type="dxa"/>
            </w:tcMar>
          </w:tcPr>
          <w:p>
            <w:pPr>
              <w:spacing w:after="0" w:line="240" w:lineRule="auto"/>
              <w:jc w:val="center"/>
            </w:pPr>
            <w:r>
              <w:rPr>
                <w:rFonts w:ascii="Times New Roman" w:hAnsi="Times New Roman"/>
                <w:sz w:val="15"/>
              </w:rPr>
              <w:t>Ficha digital de telemetría</w:t>
            </w:r>
          </w:p>
        </w:tc>
        <w:tc>
          <w:tcPr>
            <w:tcW w:type="dxa" w:w="2520"/>
            <w:vAlign w:val="center"/>
            <w:tcMar>
              <w:top w:w="70" w:type="dxa"/>
              <w:start w:w="90" w:type="dxa"/>
              <w:bottom w:w="70" w:type="dxa"/>
              <w:end w:w="90" w:type="dxa"/>
            </w:tcMar>
          </w:tcPr>
          <w:p>
            <w:pPr>
              <w:spacing w:after="0" w:line="240" w:lineRule="auto"/>
              <w:jc w:val="center"/>
            </w:pPr>
            <w:r>
              <w:rPr>
                <w:rFonts w:ascii="Times New Roman" w:hAnsi="Times New Roman"/>
                <w:sz w:val="15"/>
              </w:rPr>
              <w:t>RSSI, SNR, MCS, tasa DL y tiempo.</w:t>
            </w:r>
          </w:p>
        </w:tc>
        <w:tc>
          <w:tcPr>
            <w:tcW w:type="dxa" w:w="2520"/>
            <w:vAlign w:val="center"/>
            <w:tcMar>
              <w:top w:w="70" w:type="dxa"/>
              <w:start w:w="90" w:type="dxa"/>
              <w:bottom w:w="70" w:type="dxa"/>
              <w:end w:w="90" w:type="dxa"/>
            </w:tcMar>
          </w:tcPr>
          <w:p>
            <w:pPr>
              <w:spacing w:after="0" w:line="240" w:lineRule="auto"/>
              <w:jc w:val="center"/>
            </w:pPr>
            <w:r>
              <w:rPr>
                <w:rFonts w:ascii="Times New Roman" w:hAnsi="Times New Roman"/>
                <w:sz w:val="15"/>
              </w:rPr>
              <w:t>Formato, rango, rol y trazabilidad.</w:t>
            </w:r>
          </w:p>
        </w:tc>
      </w:tr>
      <w:tr>
        <w:tc>
          <w:tcPr>
            <w:tcW w:type="dxa" w:w="1944"/>
            <w:vAlign w:val="center"/>
            <w:tcMar>
              <w:top w:w="70" w:type="dxa"/>
              <w:start w:w="90" w:type="dxa"/>
              <w:bottom w:w="70" w:type="dxa"/>
              <w:end w:w="90" w:type="dxa"/>
            </w:tcMar>
          </w:tcPr>
          <w:p>
            <w:pPr>
              <w:spacing w:after="0" w:line="240" w:lineRule="auto"/>
              <w:jc w:val="left"/>
            </w:pPr>
            <w:r>
              <w:rPr>
                <w:rFonts w:ascii="Times New Roman" w:hAnsi="Times New Roman"/>
                <w:sz w:val="15"/>
              </w:rPr>
              <w:t>Análisis documental</w:t>
            </w:r>
          </w:p>
        </w:tc>
        <w:tc>
          <w:tcPr>
            <w:tcW w:type="dxa" w:w="2376"/>
            <w:vAlign w:val="center"/>
            <w:tcMar>
              <w:top w:w="70" w:type="dxa"/>
              <w:start w:w="90" w:type="dxa"/>
              <w:bottom w:w="70" w:type="dxa"/>
              <w:end w:w="90" w:type="dxa"/>
            </w:tcMar>
          </w:tcPr>
          <w:p>
            <w:pPr>
              <w:spacing w:after="0" w:line="240" w:lineRule="auto"/>
              <w:jc w:val="center"/>
            </w:pPr>
            <w:r>
              <w:rPr>
                <w:rFonts w:ascii="Times New Roman" w:hAnsi="Times New Roman"/>
                <w:sz w:val="15"/>
              </w:rPr>
              <w:t>Ficha de control de calidad</w:t>
            </w:r>
          </w:p>
        </w:tc>
        <w:tc>
          <w:tcPr>
            <w:tcW w:type="dxa" w:w="2520"/>
            <w:vAlign w:val="center"/>
            <w:tcMar>
              <w:top w:w="70" w:type="dxa"/>
              <w:start w:w="90" w:type="dxa"/>
              <w:bottom w:w="70" w:type="dxa"/>
              <w:end w:w="90" w:type="dxa"/>
            </w:tcMar>
          </w:tcPr>
          <w:p>
            <w:pPr>
              <w:spacing w:after="0" w:line="240" w:lineRule="auto"/>
              <w:jc w:val="center"/>
            </w:pPr>
            <w:r>
              <w:rPr>
                <w:rFonts w:ascii="Times New Roman" w:hAnsi="Times New Roman"/>
                <w:sz w:val="15"/>
              </w:rPr>
              <w:t>Archivos, duplicados, ausencias y continuidad.</w:t>
            </w:r>
          </w:p>
        </w:tc>
        <w:tc>
          <w:tcPr>
            <w:tcW w:type="dxa" w:w="2520"/>
            <w:vAlign w:val="center"/>
            <w:tcMar>
              <w:top w:w="70" w:type="dxa"/>
              <w:start w:w="90" w:type="dxa"/>
              <w:bottom w:w="70" w:type="dxa"/>
              <w:end w:w="90" w:type="dxa"/>
            </w:tcMar>
          </w:tcPr>
          <w:p>
            <w:pPr>
              <w:spacing w:after="0" w:line="240" w:lineRule="auto"/>
              <w:jc w:val="center"/>
            </w:pPr>
            <w:r>
              <w:rPr>
                <w:rFonts w:ascii="Times New Roman" w:hAnsi="Times New Roman"/>
                <w:sz w:val="15"/>
              </w:rPr>
              <w:t>Conservación del original y registro de reglas.</w:t>
            </w:r>
          </w:p>
        </w:tc>
      </w:tr>
      <w:tr>
        <w:tc>
          <w:tcPr>
            <w:tcW w:type="dxa" w:w="1944"/>
            <w:vAlign w:val="center"/>
            <w:tcMar>
              <w:top w:w="70" w:type="dxa"/>
              <w:start w:w="90" w:type="dxa"/>
              <w:bottom w:w="70" w:type="dxa"/>
              <w:end w:w="90" w:type="dxa"/>
            </w:tcMar>
          </w:tcPr>
          <w:p>
            <w:pPr>
              <w:spacing w:after="0" w:line="240" w:lineRule="auto"/>
              <w:jc w:val="left"/>
            </w:pPr>
            <w:r>
              <w:rPr>
                <w:rFonts w:ascii="Times New Roman" w:hAnsi="Times New Roman"/>
                <w:sz w:val="15"/>
              </w:rPr>
              <w:t>Experimentación computacional</w:t>
            </w:r>
          </w:p>
        </w:tc>
        <w:tc>
          <w:tcPr>
            <w:tcW w:type="dxa" w:w="2376"/>
            <w:vAlign w:val="center"/>
            <w:tcMar>
              <w:top w:w="70" w:type="dxa"/>
              <w:start w:w="90" w:type="dxa"/>
              <w:bottom w:w="70" w:type="dxa"/>
              <w:end w:w="90" w:type="dxa"/>
            </w:tcMar>
          </w:tcPr>
          <w:p>
            <w:pPr>
              <w:spacing w:after="0" w:line="240" w:lineRule="auto"/>
              <w:jc w:val="center"/>
            </w:pPr>
            <w:r>
              <w:rPr>
                <w:rFonts w:ascii="Times New Roman" w:hAnsi="Times New Roman"/>
                <w:sz w:val="15"/>
              </w:rPr>
              <w:t>Ficha funcional y matriz de resultados</w:t>
            </w:r>
          </w:p>
        </w:tc>
        <w:tc>
          <w:tcPr>
            <w:tcW w:type="dxa" w:w="2520"/>
            <w:vAlign w:val="center"/>
            <w:tcMar>
              <w:top w:w="70" w:type="dxa"/>
              <w:start w:w="90" w:type="dxa"/>
              <w:bottom w:w="70" w:type="dxa"/>
              <w:end w:w="90" w:type="dxa"/>
            </w:tcMar>
          </w:tcPr>
          <w:p>
            <w:pPr>
              <w:spacing w:after="0" w:line="240" w:lineRule="auto"/>
              <w:jc w:val="center"/>
            </w:pPr>
            <w:r>
              <w:rPr>
                <w:rFonts w:ascii="Times New Roman" w:hAnsi="Times New Roman"/>
                <w:sz w:val="15"/>
              </w:rPr>
              <w:t>Predicciones, métricas e intervalos.</w:t>
            </w:r>
          </w:p>
        </w:tc>
        <w:tc>
          <w:tcPr>
            <w:tcW w:type="dxa" w:w="2520"/>
            <w:vAlign w:val="center"/>
            <w:tcMar>
              <w:top w:w="70" w:type="dxa"/>
              <w:start w:w="90" w:type="dxa"/>
              <w:bottom w:w="70" w:type="dxa"/>
              <w:end w:w="90" w:type="dxa"/>
            </w:tcMar>
          </w:tcPr>
          <w:p>
            <w:pPr>
              <w:spacing w:after="0" w:line="240" w:lineRule="auto"/>
              <w:jc w:val="center"/>
            </w:pPr>
            <w:r>
              <w:rPr>
                <w:rFonts w:ascii="Times New Roman" w:hAnsi="Times New Roman"/>
                <w:sz w:val="15"/>
              </w:rPr>
              <w:t>Mismos cortes, semillas y periodos de prueba.</w:t>
            </w:r>
          </w:p>
        </w:tc>
      </w:tr>
      <w:tr>
        <w:tc>
          <w:tcPr>
            <w:tcW w:type="dxa" w:w="1944"/>
            <w:vAlign w:val="center"/>
            <w:tcMar>
              <w:top w:w="70" w:type="dxa"/>
              <w:start w:w="90" w:type="dxa"/>
              <w:bottom w:w="70" w:type="dxa"/>
              <w:end w:w="90" w:type="dxa"/>
            </w:tcMar>
          </w:tcPr>
          <w:p>
            <w:pPr>
              <w:spacing w:after="0" w:line="240" w:lineRule="auto"/>
              <w:jc w:val="left"/>
            </w:pPr>
            <w:r>
              <w:rPr>
                <w:rFonts w:ascii="Times New Roman" w:hAnsi="Times New Roman"/>
                <w:sz w:val="15"/>
              </w:rPr>
              <w:t>Registro de episodios</w:t>
            </w:r>
          </w:p>
        </w:tc>
        <w:tc>
          <w:tcPr>
            <w:tcW w:type="dxa" w:w="2376"/>
            <w:vAlign w:val="center"/>
            <w:tcMar>
              <w:top w:w="70" w:type="dxa"/>
              <w:start w:w="90" w:type="dxa"/>
              <w:bottom w:w="70" w:type="dxa"/>
              <w:end w:w="90" w:type="dxa"/>
            </w:tcMar>
          </w:tcPr>
          <w:p>
            <w:pPr>
              <w:spacing w:after="0" w:line="240" w:lineRule="auto"/>
              <w:jc w:val="center"/>
            </w:pPr>
            <w:r>
              <w:rPr>
                <w:rFonts w:ascii="Times New Roman" w:hAnsi="Times New Roman"/>
                <w:sz w:val="15"/>
              </w:rPr>
              <w:t>Ficha digital de episodios</w:t>
            </w:r>
          </w:p>
        </w:tc>
        <w:tc>
          <w:tcPr>
            <w:tcW w:type="dxa" w:w="2520"/>
            <w:vAlign w:val="center"/>
            <w:tcMar>
              <w:top w:w="70" w:type="dxa"/>
              <w:start w:w="90" w:type="dxa"/>
              <w:bottom w:w="70" w:type="dxa"/>
              <w:end w:w="90" w:type="dxa"/>
            </w:tcMar>
          </w:tcPr>
          <w:p>
            <w:pPr>
              <w:spacing w:after="0" w:line="240" w:lineRule="auto"/>
              <w:jc w:val="center"/>
            </w:pPr>
            <w:r>
              <w:rPr>
                <w:rFonts w:ascii="Times New Roman" w:hAnsi="Times New Roman"/>
                <w:sz w:val="15"/>
              </w:rPr>
              <w:t>Estados proxy y alertas futuras.</w:t>
            </w:r>
          </w:p>
        </w:tc>
        <w:tc>
          <w:tcPr>
            <w:tcW w:type="dxa" w:w="2520"/>
            <w:vAlign w:val="center"/>
            <w:tcMar>
              <w:top w:w="70" w:type="dxa"/>
              <w:start w:w="90" w:type="dxa"/>
              <w:bottom w:w="70" w:type="dxa"/>
              <w:end w:w="90" w:type="dxa"/>
            </w:tcMar>
          </w:tcPr>
          <w:p>
            <w:pPr>
              <w:spacing w:after="0" w:line="240" w:lineRule="auto"/>
              <w:jc w:val="center"/>
            </w:pPr>
            <w:r>
              <w:rPr>
                <w:rFonts w:ascii="Times New Roman" w:hAnsi="Times New Roman"/>
                <w:sz w:val="15"/>
              </w:rPr>
              <w:t>Umbrales solo del entrenamiento y marca temporal.</w:t>
            </w:r>
          </w:p>
        </w:tc>
      </w:tr>
    </w:tbl>
    <w:p>
      <w:pPr>
        <w:spacing w:before="40" w:after="120"/>
      </w:pPr>
      <w:r>
        <w:rPr>
          <w:rFonts w:ascii="Times New Roman" w:hAnsi="Times New Roman"/>
          <w:i/>
          <w:sz w:val="18"/>
        </w:rPr>
        <w:t>Fuente: elaboración propia.</w:t>
      </w:r>
    </w:p>
    <w:p>
      <w:pPr>
        <w:spacing w:line="360" w:lineRule="auto" w:after="0"/>
        <w:ind w:firstLine="706"/>
        <w:jc w:val="both"/>
      </w:pPr>
      <w:r>
        <w:t>La correspondencia anterior evitó confundir instrumentos de investigación con equipos o programas. Los radios, interfaces de gestión, scripts, bibliotecas y archivos fueron herramientas de apoyo; los instrumentos fueron las estructuras estandarizadas utilizadas para registrar, controlar y evaluar la información.</w:t>
      </w:r>
    </w:p>
    <w:p>
      <w:pPr>
        <w:pStyle w:val="Heading1"/>
        <w:keepNext/>
      </w:pPr>
      <w:r>
        <w:t>3.4. Técnicas de análisis e interpretación de datos</w:t>
      </w:r>
    </w:p>
    <w:p>
      <w:pPr>
        <w:spacing w:line="360" w:lineRule="auto" w:after="0"/>
        <w:ind w:firstLine="706"/>
        <w:jc w:val="both"/>
      </w:pPr>
      <w:r>
        <w:t>El análisis se ejecutó mediante un flujo reproducible compuesto por preparación, caracterización, generación de características, modelamiento, comparación, anticipación y explicabilidad. Los archivos originales se conservaron sin modificación y todos los productos derivados mantuvieron una referencia temporal y de origen.</w:t>
      </w:r>
    </w:p>
    <w:p>
      <w:pPr>
        <w:pStyle w:val="Heading2"/>
        <w:keepNext/>
      </w:pPr>
      <w:r>
        <w:t>3.4.1. Integración, depuración y sincronización</w:t>
      </w:r>
    </w:p>
    <w:p>
      <w:pPr>
        <w:spacing w:line="360" w:lineRule="auto" w:after="0"/>
        <w:ind w:firstLine="706"/>
        <w:jc w:val="both"/>
      </w:pPr>
      <w:r>
        <w:t>Los 90 archivos fueron integrados en una sola estructura; se seleccionó el rol AP, se interpretaron las marcas temporales en la zona horaria America/Lima, se ordenaron los registros y se eliminó la duplicidad exacta por instante conservando la última observación. Los campos técnicos se transformaron a valores numéricos y la tasa DL se extrajo de la cadena reportada por el equipo.</w:t>
      </w:r>
    </w:p>
    <w:p>
      <w:pPr>
        <w:spacing w:line="360" w:lineRule="auto" w:after="0"/>
        <w:ind w:firstLine="706"/>
        <w:jc w:val="both"/>
      </w:pPr>
      <w:r>
        <w:t>Las lecturas centinela se reemplazaron por valores ausentes: SNR menor o igual que 0 dB y RSSI mayor o igual que 0 dBm no se trataron como mediciones reales. Posteriormente, las observaciones se consolidaron mediante la mediana en intervalos de un minuto. Se generó una variable de observación para distinguir minutos medidos de minutos sin adquisición. Para las variables predictoras se permitió únicamente el arrastre causal del último valor durante un minuto; los objetivos futuros no fueron interpolados.</w:t>
      </w:r>
    </w:p>
    <w:p>
      <w:pPr>
        <w:pStyle w:val="Heading2"/>
        <w:keepNext/>
      </w:pPr>
      <w:r>
        <w:t>3.4.2. Estadística descriptiva y análisis temporal</w:t>
      </w:r>
    </w:p>
    <w:p>
      <w:pPr>
        <w:spacing w:line="360" w:lineRule="auto" w:after="0"/>
        <w:ind w:firstLine="706"/>
        <w:jc w:val="both"/>
      </w:pPr>
      <w:r>
        <w:t>La caracterización utilizó frecuencia, media, mediana, desviación estándar, mínimo, máximo y percentiles. También se calcularon resúmenes diarios y distribuciones de estados. Los gráficos temporales permitieron examinar cobertura, interrupciones, tendencias y cambios conjuntos de RSSI, SNR, MCS y tasa DL. Las asociaciones radio-clima se estimaron de forma complementaria mediante correlación de Spearman, debido a que no se asumió normalidad ni relación lineal; estas asociaciones se interpretaron como contemporáneas y no causales.</w:t>
      </w:r>
    </w:p>
    <w:p>
      <w:pPr>
        <w:pStyle w:val="Heading2"/>
        <w:keepNext/>
      </w:pPr>
      <w:r>
        <w:t>3.4.3. Construcción de características y partición cronológica</w:t>
      </w:r>
    </w:p>
    <w:p>
      <w:pPr>
        <w:spacing w:line="360" w:lineRule="auto" w:after="0"/>
        <w:ind w:firstLine="706"/>
        <w:jc w:val="both"/>
      </w:pPr>
      <w:r>
        <w:t>Las características predictoras se generaron exclusivamente con información disponible en el instante de pronóstico. Para cada variable se incorporaron el valor actual, rezagos de 1, 5, 15, 30 y 60 minutos, medias móviles y desviaciones estándar de 5, 15 y 60 minutos calculadas después de desplazar la ventana un minuto. También se añadieron transformaciones seno y coseno de la hora y del día de la semana. Este diseño evitó que el valor contemporáneo del objetivo futuro ingresara indirectamente al modelo.</w:t>
      </w:r>
    </w:p>
    <w:p>
      <w:pPr>
        <w:spacing w:line="360" w:lineRule="auto" w:after="0"/>
        <w:ind w:firstLine="706"/>
        <w:jc w:val="both"/>
      </w:pPr>
      <w:r>
        <w:t>Los minutos observados se dividieron cronológicamente: el 70 % inicial se destinó al entrenamiento, el 15 % siguiente a la validación y el 15 % final a la prueba. El entrenamiento terminó el 6 de mayo de 2026 a las 03:01 y la validación el 18 de mayo de 2026 a las 12:42. La prueba comprendió exclusivamente observaciones posteriores. Esta estrategia se aplicó porque, en series temporales, los conjuntos de evaluación deben estar formados por observaciones posteriores al entrenamiento para impedir el uso de información futura [14].</w:t>
      </w:r>
    </w:p>
    <w:p>
      <w:pPr>
        <w:pStyle w:val="Heading2"/>
        <w:keepNext/>
      </w:pPr>
      <w:r>
        <w:t>3.4.4. Clasificación de estados operacionales</w:t>
      </w:r>
    </w:p>
    <w:p>
      <w:pPr>
        <w:spacing w:line="360" w:lineRule="auto" w:after="0"/>
        <w:ind w:firstLine="706"/>
        <w:jc w:val="both"/>
      </w:pPr>
      <w:r>
        <w:t>Los estados proxy se definieron con los percentiles 1, 5 y 10 de RSSI DL, SNR DL, MCS DL y tasa DL calculados únicamente en el entrenamiento. Un minuto se clasificó como crítico cuando al menos dos indicadores se ubicaron en o por debajo del percentil 5, o cuando SNR DL o tasa DL alcanzaron el percentil 1. Se consideró degradado cuando al menos un indicador alcanzó el percentil 10 sin cumplir la condición crítica; los demás minutos con tres o más variables válidas se etiquetaron como normales.</w:t>
      </w:r>
    </w:p>
    <w:p>
      <w:pPr>
        <w:spacing w:line="360" w:lineRule="auto" w:after="0"/>
        <w:ind w:firstLine="706"/>
        <w:jc w:val="both"/>
      </w:pPr>
      <w:r>
        <w:t>La clasificación a 15 minutos se realizó con HistGradientBoosting y ponderación balanceada de clases. Se utilizó persistencia como referencia, asumiendo que el estado futuro sería igual al actual. El desempeño se evaluó mediante exactitud, precisión macro, recall macro, F1-macro, F1 ponderado, AUC multiclase uno contra el resto y matriz de confusión. Se priorizó F1-macro porque asigna el mismo peso a normal, degradado y crítico y reduce la interpretación optimista ocasionada por el predominio de la clase normal.</w:t>
      </w:r>
    </w:p>
    <w:p>
      <w:pPr>
        <w:pStyle w:val="Heading2"/>
        <w:keepNext/>
      </w:pPr>
      <w:r>
        <w:t>3.4.5. Detección de anomalías</w:t>
      </w:r>
    </w:p>
    <w:p>
      <w:pPr>
        <w:spacing w:line="360" w:lineRule="auto" w:after="0"/>
        <w:ind w:firstLine="706"/>
        <w:jc w:val="both"/>
      </w:pPr>
      <w:r>
        <w:t>La detección no supervisada utilizó Isolation Forest, método que identifica anomalías mediante su aislamiento recursivo en árboles aleatorios [21]. Se procesaron RSSI DL/UL, SNR DL/UL, MCS DL/UL y tasa DL en las filas completas. El modelo se ajustó solo con el tramo de entrenamiento, utilizó 200 árboles, contaminación esperada de 1 % y semilla fija. La salida estuvo constituida por una puntuación continua y una marca binaria de anomalía. Una anomalía se interpretó como observación inusual y no necesariamente como falla confirmada.</w:t>
      </w:r>
    </w:p>
    <w:p>
      <w:pPr>
        <w:pStyle w:val="Heading2"/>
        <w:keepNext/>
      </w:pPr>
      <w:r>
        <w:t>3.4.6. Pronóstico temporal</w:t>
      </w:r>
    </w:p>
    <w:p>
      <w:pPr>
        <w:spacing w:line="360" w:lineRule="auto" w:after="0"/>
        <w:ind w:firstLine="706"/>
        <w:jc w:val="both"/>
      </w:pPr>
      <w:r>
        <w:t>Se pronosticaron RSSI DL, MCS DL y tasa DL para horizontes de 5, 15 y 30 minutos. Se compararon persistencia, regresión Ridge e HistGradientBoosting. Persistencia repitió el valor actual; Ridge representó un referente lineal regularizado; e HistGradientBoosting modeló relaciones no lineales. La mediana del entrenamiento se utilizó para imputar predictores faltantes dentro de los modelos, y Ridge incorporó estandarización. La elección final se basó en el conjunto de prueba y no en el ajuste del entrenamiento.</w:t>
      </w:r>
    </w:p>
    <w:p>
      <w:pPr>
        <w:spacing w:line="360" w:lineRule="auto" w:after="0"/>
        <w:ind w:firstLine="706"/>
        <w:jc w:val="both"/>
      </w:pPr>
      <w:r>
        <w:t>Los errores se calcularon mediante MAE, RMSE y MAPE. El MAE resumió la magnitud promedio del error; el RMSE penalizó con mayor intensidad las desviaciones grandes; y el MAPE expresó el error relativo porcentual cuando el valor real fue distinto de cero. Para MCS se añadió exactitud redondeada, comparando el entero pronosticado con el observado.</w:t>
      </w:r>
    </w:p>
    <w:p>
      <w:pPr>
        <w:pStyle w:val="Heading2"/>
        <w:keepNext/>
      </w:pPr>
      <w:r>
        <w:t>3.4.7. Comparación estadística y anticipación</w:t>
      </w:r>
    </w:p>
    <w:p>
      <w:pPr>
        <w:spacing w:line="360" w:lineRule="auto" w:after="0"/>
        <w:ind w:firstLine="706"/>
        <w:jc w:val="both"/>
      </w:pPr>
      <w:r>
        <w:t>Las diferencias entre modelos se evaluaron mediante bootstrap pareado por bloques móviles de 60 minutos y 1 000 réplicas. A diferencia del remuestreo independiente, este procedimiento conserva segmentos contiguos y reduce la pérdida de dependencia temporal; Künsch extendió el bootstrap a observaciones estacionarias dependientes [22]. Se estimaron intervalos de confianza del 95 % para la ganancia de MAE, RMSE y F1-macro. Se consideró respaldada una mejora cuando el límite inferior de la diferencia favorable fue mayor que cero.</w:t>
      </w:r>
    </w:p>
    <w:p>
      <w:pPr>
        <w:spacing w:line="360" w:lineRule="auto" w:after="0"/>
        <w:ind w:firstLine="706"/>
        <w:jc w:val="both"/>
      </w:pPr>
      <w:r>
        <w:t>La anticipación se evaluó transformando degradado y crítico en una condición futura no normal a 15 minutos. Se calcularon verdaderos positivos, falsos positivos, falsos negativos, verdaderos negativos, precisión, recall y tasa de falsas alertas. El recall representó la proporción de degradaciones proxy anticipadas, mientras que la tasa de falsas alertas cuantificó la proporción de minutos normales señalados incorrectamente.</w:t>
      </w:r>
    </w:p>
    <w:p>
      <w:pPr>
        <w:pStyle w:val="Heading2"/>
        <w:keepNext/>
      </w:pPr>
      <w:r>
        <w:t>3.4.8. Explicabilidad e interpretación</w:t>
      </w:r>
    </w:p>
    <w:p>
      <w:pPr>
        <w:spacing w:line="360" w:lineRule="auto" w:after="0"/>
        <w:ind w:firstLine="706"/>
        <w:jc w:val="both"/>
      </w:pPr>
      <w:r>
        <w:t>La influencia de los predictores se estimó mediante importancia por permutación sobre una muestra temporalmente distribuida del conjunto de prueba. El procedimiento desordenó una característica y midió la disminución del F1-macro; una reducción mayor indicó mayor dependencia del clasificador respecto de esa característica. La importancia por permutación permite evaluar la contribución predictiva de variables en modelos diferentes [23]. Los resultados se interpretaron como dependencia aprendida por el modelo y no como efecto causal.</w:t>
      </w:r>
    </w:p>
    <w:p>
      <w:pPr>
        <w:spacing w:line="360" w:lineRule="auto" w:after="0"/>
        <w:ind w:firstLine="706"/>
        <w:jc w:val="both"/>
      </w:pPr>
      <w:r>
        <w:t>La Tabla 4 resume las etapas analíticas, los métodos y los productos generados. Cada etapa se presenta antes de la tabla y sus salidas fueron utilizadas en el capítulo IV.</w:t>
      </w:r>
    </w:p>
    <w:p>
      <w:pPr>
        <w:spacing w:before="120" w:after="40"/>
        <w:keepNext/>
      </w:pPr>
      <w:r>
        <w:rPr>
          <w:rFonts w:ascii="Times New Roman" w:hAnsi="Times New Roman"/>
          <w:b/>
          <w:sz w:val="20"/>
        </w:rPr>
        <w:t>Tabla 4. Secuencia del análisis e interpretación de datos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800"/>
            <w:shd w:fill="D9EAF7"/>
            <w:vAlign w:val="center"/>
            <w:tcMar>
              <w:top w:w="70" w:type="dxa"/>
              <w:start w:w="90" w:type="dxa"/>
              <w:bottom w:w="70" w:type="dxa"/>
              <w:end w:w="90" w:type="dxa"/>
            </w:tcMar>
          </w:tcPr>
          <w:p>
            <w:pPr>
              <w:spacing w:after="0"/>
              <w:jc w:val="center"/>
            </w:pPr>
            <w:r>
              <w:rPr>
                <w:rFonts w:ascii="Times New Roman" w:hAnsi="Times New Roman"/>
                <w:b/>
                <w:sz w:val="16"/>
              </w:rPr>
              <w:t>Etapa</w:t>
            </w:r>
          </w:p>
        </w:tc>
        <w:tc>
          <w:tcPr>
            <w:tcW w:type="dxa" w:w="3888"/>
            <w:shd w:fill="D9EAF7"/>
            <w:vAlign w:val="center"/>
            <w:tcMar>
              <w:top w:w="70" w:type="dxa"/>
              <w:start w:w="90" w:type="dxa"/>
              <w:bottom w:w="70" w:type="dxa"/>
              <w:end w:w="90" w:type="dxa"/>
            </w:tcMar>
          </w:tcPr>
          <w:p>
            <w:pPr>
              <w:spacing w:after="0"/>
              <w:jc w:val="center"/>
            </w:pPr>
            <w:r>
              <w:rPr>
                <w:rFonts w:ascii="Times New Roman" w:hAnsi="Times New Roman"/>
                <w:b/>
                <w:sz w:val="16"/>
              </w:rPr>
              <w:t>Método aplicado</w:t>
            </w:r>
          </w:p>
        </w:tc>
        <w:tc>
          <w:tcPr>
            <w:tcW w:type="dxa" w:w="3384"/>
            <w:shd w:fill="D9EAF7"/>
            <w:vAlign w:val="center"/>
            <w:tcMar>
              <w:top w:w="70" w:type="dxa"/>
              <w:start w:w="90" w:type="dxa"/>
              <w:bottom w:w="70" w:type="dxa"/>
              <w:end w:w="90" w:type="dxa"/>
            </w:tcMar>
          </w:tcPr>
          <w:p>
            <w:pPr>
              <w:spacing w:after="0"/>
              <w:jc w:val="center"/>
            </w:pPr>
            <w:r>
              <w:rPr>
                <w:rFonts w:ascii="Times New Roman" w:hAnsi="Times New Roman"/>
                <w:b/>
                <w:sz w:val="16"/>
              </w:rPr>
              <w:t>Producto</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Preparación</w:t>
            </w:r>
          </w:p>
        </w:tc>
        <w:tc>
          <w:tcPr>
            <w:tcW w:type="dxa" w:w="3888"/>
            <w:vAlign w:val="center"/>
            <w:tcMar>
              <w:top w:w="70" w:type="dxa"/>
              <w:start w:w="90" w:type="dxa"/>
              <w:bottom w:w="70" w:type="dxa"/>
              <w:end w:w="90" w:type="dxa"/>
            </w:tcMar>
          </w:tcPr>
          <w:p>
            <w:pPr>
              <w:spacing w:after="0" w:line="240" w:lineRule="auto"/>
              <w:jc w:val="center"/>
            </w:pPr>
            <w:r>
              <w:rPr>
                <w:rFonts w:ascii="Times New Roman" w:hAnsi="Times New Roman"/>
                <w:sz w:val="16"/>
              </w:rPr>
              <w:t>Integración, depuración y malla de 1 min.</w:t>
            </w:r>
          </w:p>
        </w:tc>
        <w:tc>
          <w:tcPr>
            <w:tcW w:type="dxa" w:w="3384"/>
            <w:vAlign w:val="center"/>
            <w:tcMar>
              <w:top w:w="70" w:type="dxa"/>
              <w:start w:w="90" w:type="dxa"/>
              <w:bottom w:w="70" w:type="dxa"/>
              <w:end w:w="90" w:type="dxa"/>
            </w:tcMar>
          </w:tcPr>
          <w:p>
            <w:pPr>
              <w:spacing w:after="0" w:line="240" w:lineRule="auto"/>
              <w:jc w:val="center"/>
            </w:pPr>
            <w:r>
              <w:rPr>
                <w:rFonts w:ascii="Times New Roman" w:hAnsi="Times New Roman"/>
                <w:sz w:val="16"/>
              </w:rPr>
              <w:t>Conjunto maestro y reporte de calidad.</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Caracterización</w:t>
            </w:r>
          </w:p>
        </w:tc>
        <w:tc>
          <w:tcPr>
            <w:tcW w:type="dxa" w:w="3888"/>
            <w:vAlign w:val="center"/>
            <w:tcMar>
              <w:top w:w="70" w:type="dxa"/>
              <w:start w:w="90" w:type="dxa"/>
              <w:bottom w:w="70" w:type="dxa"/>
              <w:end w:w="90" w:type="dxa"/>
            </w:tcMar>
          </w:tcPr>
          <w:p>
            <w:pPr>
              <w:spacing w:after="0" w:line="240" w:lineRule="auto"/>
              <w:jc w:val="center"/>
            </w:pPr>
            <w:r>
              <w:rPr>
                <w:rFonts w:ascii="Times New Roman" w:hAnsi="Times New Roman"/>
                <w:sz w:val="16"/>
              </w:rPr>
              <w:t>Estadística descriptiva y análisis temporal.</w:t>
            </w:r>
          </w:p>
        </w:tc>
        <w:tc>
          <w:tcPr>
            <w:tcW w:type="dxa" w:w="3384"/>
            <w:vAlign w:val="center"/>
            <w:tcMar>
              <w:top w:w="70" w:type="dxa"/>
              <w:start w:w="90" w:type="dxa"/>
              <w:bottom w:w="70" w:type="dxa"/>
              <w:end w:w="90" w:type="dxa"/>
            </w:tcMar>
          </w:tcPr>
          <w:p>
            <w:pPr>
              <w:spacing w:after="0" w:line="240" w:lineRule="auto"/>
              <w:jc w:val="center"/>
            </w:pPr>
            <w:r>
              <w:rPr>
                <w:rFonts w:ascii="Times New Roman" w:hAnsi="Times New Roman"/>
                <w:sz w:val="16"/>
              </w:rPr>
              <w:t>Tablas, resúmenes diarios y gráficos.</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Características</w:t>
            </w:r>
          </w:p>
        </w:tc>
        <w:tc>
          <w:tcPr>
            <w:tcW w:type="dxa" w:w="3888"/>
            <w:vAlign w:val="center"/>
            <w:tcMar>
              <w:top w:w="70" w:type="dxa"/>
              <w:start w:w="90" w:type="dxa"/>
              <w:bottom w:w="70" w:type="dxa"/>
              <w:end w:w="90" w:type="dxa"/>
            </w:tcMar>
          </w:tcPr>
          <w:p>
            <w:pPr>
              <w:spacing w:after="0" w:line="240" w:lineRule="auto"/>
              <w:jc w:val="center"/>
            </w:pPr>
            <w:r>
              <w:rPr>
                <w:rFonts w:ascii="Times New Roman" w:hAnsi="Times New Roman"/>
                <w:sz w:val="16"/>
              </w:rPr>
              <w:t>Rezagos, ventanas móviles y ciclos temporales.</w:t>
            </w:r>
          </w:p>
        </w:tc>
        <w:tc>
          <w:tcPr>
            <w:tcW w:type="dxa" w:w="3384"/>
            <w:vAlign w:val="center"/>
            <w:tcMar>
              <w:top w:w="70" w:type="dxa"/>
              <w:start w:w="90" w:type="dxa"/>
              <w:bottom w:w="70" w:type="dxa"/>
              <w:end w:w="90" w:type="dxa"/>
            </w:tcMar>
          </w:tcPr>
          <w:p>
            <w:pPr>
              <w:spacing w:after="0" w:line="240" w:lineRule="auto"/>
              <w:jc w:val="center"/>
            </w:pPr>
            <w:r>
              <w:rPr>
                <w:rFonts w:ascii="Times New Roman" w:hAnsi="Times New Roman"/>
                <w:sz w:val="16"/>
              </w:rPr>
              <w:t>Matriz causal de predictores.</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Clasificación</w:t>
            </w:r>
          </w:p>
        </w:tc>
        <w:tc>
          <w:tcPr>
            <w:tcW w:type="dxa" w:w="3888"/>
            <w:vAlign w:val="center"/>
            <w:tcMar>
              <w:top w:w="70" w:type="dxa"/>
              <w:start w:w="90" w:type="dxa"/>
              <w:bottom w:w="70" w:type="dxa"/>
              <w:end w:w="90" w:type="dxa"/>
            </w:tcMar>
          </w:tcPr>
          <w:p>
            <w:pPr>
              <w:spacing w:after="0" w:line="240" w:lineRule="auto"/>
              <w:jc w:val="center"/>
            </w:pPr>
            <w:r>
              <w:rPr>
                <w:rFonts w:ascii="Times New Roman" w:hAnsi="Times New Roman"/>
                <w:sz w:val="16"/>
              </w:rPr>
              <w:t>HGB frente a persistencia.</w:t>
            </w:r>
          </w:p>
        </w:tc>
        <w:tc>
          <w:tcPr>
            <w:tcW w:type="dxa" w:w="3384"/>
            <w:vAlign w:val="center"/>
            <w:tcMar>
              <w:top w:w="70" w:type="dxa"/>
              <w:start w:w="90" w:type="dxa"/>
              <w:bottom w:w="70" w:type="dxa"/>
              <w:end w:w="90" w:type="dxa"/>
            </w:tcMar>
          </w:tcPr>
          <w:p>
            <w:pPr>
              <w:spacing w:after="0" w:line="240" w:lineRule="auto"/>
              <w:jc w:val="center"/>
            </w:pPr>
            <w:r>
              <w:rPr>
                <w:rFonts w:ascii="Times New Roman" w:hAnsi="Times New Roman"/>
                <w:sz w:val="16"/>
              </w:rPr>
              <w:t>Métricas y matriz de confusión.</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Anomalías</w:t>
            </w:r>
          </w:p>
        </w:tc>
        <w:tc>
          <w:tcPr>
            <w:tcW w:type="dxa" w:w="3888"/>
            <w:vAlign w:val="center"/>
            <w:tcMar>
              <w:top w:w="70" w:type="dxa"/>
              <w:start w:w="90" w:type="dxa"/>
              <w:bottom w:w="70" w:type="dxa"/>
              <w:end w:w="90" w:type="dxa"/>
            </w:tcMar>
          </w:tcPr>
          <w:p>
            <w:pPr>
              <w:spacing w:after="0" w:line="240" w:lineRule="auto"/>
              <w:jc w:val="center"/>
            </w:pPr>
            <w:r>
              <w:rPr>
                <w:rFonts w:ascii="Times New Roman" w:hAnsi="Times New Roman"/>
                <w:sz w:val="16"/>
              </w:rPr>
              <w:t>Isolation Forest.</w:t>
            </w:r>
          </w:p>
        </w:tc>
        <w:tc>
          <w:tcPr>
            <w:tcW w:type="dxa" w:w="3384"/>
            <w:vAlign w:val="center"/>
            <w:tcMar>
              <w:top w:w="70" w:type="dxa"/>
              <w:start w:w="90" w:type="dxa"/>
              <w:bottom w:w="70" w:type="dxa"/>
              <w:end w:w="90" w:type="dxa"/>
            </w:tcMar>
          </w:tcPr>
          <w:p>
            <w:pPr>
              <w:spacing w:after="0" w:line="240" w:lineRule="auto"/>
              <w:jc w:val="center"/>
            </w:pPr>
            <w:r>
              <w:rPr>
                <w:rFonts w:ascii="Times New Roman" w:hAnsi="Times New Roman"/>
                <w:sz w:val="16"/>
              </w:rPr>
              <w:t>Puntuaciones y observaciones priorizadas.</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Pronóstico</w:t>
            </w:r>
          </w:p>
        </w:tc>
        <w:tc>
          <w:tcPr>
            <w:tcW w:type="dxa" w:w="3888"/>
            <w:vAlign w:val="center"/>
            <w:tcMar>
              <w:top w:w="70" w:type="dxa"/>
              <w:start w:w="90" w:type="dxa"/>
              <w:bottom w:w="70" w:type="dxa"/>
              <w:end w:w="90" w:type="dxa"/>
            </w:tcMar>
          </w:tcPr>
          <w:p>
            <w:pPr>
              <w:spacing w:after="0" w:line="240" w:lineRule="auto"/>
              <w:jc w:val="center"/>
            </w:pPr>
            <w:r>
              <w:rPr>
                <w:rFonts w:ascii="Times New Roman" w:hAnsi="Times New Roman"/>
                <w:sz w:val="16"/>
              </w:rPr>
              <w:t>Persistencia, Ridge y HGB.</w:t>
            </w:r>
          </w:p>
        </w:tc>
        <w:tc>
          <w:tcPr>
            <w:tcW w:type="dxa" w:w="3384"/>
            <w:vAlign w:val="center"/>
            <w:tcMar>
              <w:top w:w="70" w:type="dxa"/>
              <w:start w:w="90" w:type="dxa"/>
              <w:bottom w:w="70" w:type="dxa"/>
              <w:end w:w="90" w:type="dxa"/>
            </w:tcMar>
          </w:tcPr>
          <w:p>
            <w:pPr>
              <w:spacing w:after="0" w:line="240" w:lineRule="auto"/>
              <w:jc w:val="center"/>
            </w:pPr>
            <w:r>
              <w:rPr>
                <w:rFonts w:ascii="Times New Roman" w:hAnsi="Times New Roman"/>
                <w:sz w:val="16"/>
              </w:rPr>
              <w:t>Predicciones a 5, 15 y 30 min.</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Inferencia</w:t>
            </w:r>
          </w:p>
        </w:tc>
        <w:tc>
          <w:tcPr>
            <w:tcW w:type="dxa" w:w="3888"/>
            <w:vAlign w:val="center"/>
            <w:tcMar>
              <w:top w:w="70" w:type="dxa"/>
              <w:start w:w="90" w:type="dxa"/>
              <w:bottom w:w="70" w:type="dxa"/>
              <w:end w:w="90" w:type="dxa"/>
            </w:tcMar>
          </w:tcPr>
          <w:p>
            <w:pPr>
              <w:spacing w:after="0" w:line="240" w:lineRule="auto"/>
              <w:jc w:val="center"/>
            </w:pPr>
            <w:r>
              <w:rPr>
                <w:rFonts w:ascii="Times New Roman" w:hAnsi="Times New Roman"/>
                <w:sz w:val="16"/>
              </w:rPr>
              <w:t>Bootstrap móvil pareado.</w:t>
            </w:r>
          </w:p>
        </w:tc>
        <w:tc>
          <w:tcPr>
            <w:tcW w:type="dxa" w:w="3384"/>
            <w:vAlign w:val="center"/>
            <w:tcMar>
              <w:top w:w="70" w:type="dxa"/>
              <w:start w:w="90" w:type="dxa"/>
              <w:bottom w:w="70" w:type="dxa"/>
              <w:end w:w="90" w:type="dxa"/>
            </w:tcMar>
          </w:tcPr>
          <w:p>
            <w:pPr>
              <w:spacing w:after="0" w:line="240" w:lineRule="auto"/>
              <w:jc w:val="center"/>
            </w:pPr>
            <w:r>
              <w:rPr>
                <w:rFonts w:ascii="Times New Roman" w:hAnsi="Times New Roman"/>
                <w:sz w:val="16"/>
              </w:rPr>
              <w:t>Intervalos de confianza del 95 %.</w:t>
            </w:r>
          </w:p>
        </w:tc>
      </w:tr>
      <w:tr>
        <w:tc>
          <w:tcPr>
            <w:tcW w:type="dxa" w:w="1800"/>
            <w:vAlign w:val="center"/>
            <w:tcMar>
              <w:top w:w="70" w:type="dxa"/>
              <w:start w:w="90" w:type="dxa"/>
              <w:bottom w:w="70" w:type="dxa"/>
              <w:end w:w="90" w:type="dxa"/>
            </w:tcMar>
          </w:tcPr>
          <w:p>
            <w:pPr>
              <w:spacing w:after="0" w:line="240" w:lineRule="auto"/>
              <w:jc w:val="left"/>
            </w:pPr>
            <w:r>
              <w:rPr>
                <w:rFonts w:ascii="Times New Roman" w:hAnsi="Times New Roman"/>
                <w:sz w:val="16"/>
              </w:rPr>
              <w:t>Explicabilidad</w:t>
            </w:r>
          </w:p>
        </w:tc>
        <w:tc>
          <w:tcPr>
            <w:tcW w:type="dxa" w:w="3888"/>
            <w:vAlign w:val="center"/>
            <w:tcMar>
              <w:top w:w="70" w:type="dxa"/>
              <w:start w:w="90" w:type="dxa"/>
              <w:bottom w:w="70" w:type="dxa"/>
              <w:end w:w="90" w:type="dxa"/>
            </w:tcMar>
          </w:tcPr>
          <w:p>
            <w:pPr>
              <w:spacing w:after="0" w:line="240" w:lineRule="auto"/>
              <w:jc w:val="center"/>
            </w:pPr>
            <w:r>
              <w:rPr>
                <w:rFonts w:ascii="Times New Roman" w:hAnsi="Times New Roman"/>
                <w:sz w:val="16"/>
              </w:rPr>
              <w:t>Importancia por permutación.</w:t>
            </w:r>
          </w:p>
        </w:tc>
        <w:tc>
          <w:tcPr>
            <w:tcW w:type="dxa" w:w="3384"/>
            <w:vAlign w:val="center"/>
            <w:tcMar>
              <w:top w:w="70" w:type="dxa"/>
              <w:start w:w="90" w:type="dxa"/>
              <w:bottom w:w="70" w:type="dxa"/>
              <w:end w:w="90" w:type="dxa"/>
            </w:tcMar>
          </w:tcPr>
          <w:p>
            <w:pPr>
              <w:spacing w:after="0" w:line="240" w:lineRule="auto"/>
              <w:jc w:val="center"/>
            </w:pPr>
            <w:r>
              <w:rPr>
                <w:rFonts w:ascii="Times New Roman" w:hAnsi="Times New Roman"/>
                <w:sz w:val="16"/>
              </w:rPr>
              <w:t>Jerarquía de indicadores influyentes.</w:t>
            </w:r>
          </w:p>
        </w:tc>
      </w:tr>
    </w:tbl>
    <w:p>
      <w:pPr>
        <w:spacing w:before="40" w:after="120"/>
      </w:pPr>
      <w:r>
        <w:rPr>
          <w:rFonts w:ascii="Times New Roman" w:hAnsi="Times New Roman"/>
          <w:i/>
          <w:sz w:val="18"/>
        </w:rPr>
        <w:t>Fuente: elaboración propia.</w:t>
      </w:r>
    </w:p>
    <w:p>
      <w:pPr>
        <w:spacing w:line="360" w:lineRule="auto" w:after="0"/>
        <w:ind w:firstLine="706"/>
        <w:jc w:val="both"/>
      </w:pPr>
      <w:r>
        <w:t>La secuencia permitió interpretar los resultados de manera progresiva: primero se verificó la calidad de los datos; después se estimó el desempeño de cada función; finalmente, se examinó la estabilidad de las diferencias y la contribución de las variables. El procesamiento se implementó con Python y bibliotecas para manejo de datos, cálculo numérico, aprendizaje automático y visualización. Se fijaron semillas aleatorias, se conservaron los archivos originales y se generaron salidas tabulares para facilitar la reproducción del análisis.</w:t>
      </w:r>
    </w:p>
    <w:p>
      <w:pPr>
        <w:pStyle w:val="Heading1"/>
        <w:keepNext/>
      </w:pPr>
      <w:r>
        <w:t>Referencias citadas en el capítulo</w:t>
      </w:r>
    </w:p>
    <w:p>
      <w:pPr>
        <w:spacing w:line="240" w:lineRule="auto" w:after="40"/>
        <w:ind w:left="432" w:hanging="432"/>
      </w:pPr>
      <w:r>
        <w:rPr>
          <w:rFonts w:ascii="Times New Roman" w:hAnsi="Times New Roman"/>
          <w:sz w:val="18"/>
        </w:rPr>
        <w:t>[14] R. J. Hyndman y G. Athanasopoulos, Forecasting: Principles and Practice, 3.ª ed. Melbourne, Australia: OTexts, 2021, sección “Time series cross-validation”. [En línea]. Disponible en: https://otexts.com/fpp3/tscv.html</w:t>
      </w:r>
    </w:p>
    <w:p>
      <w:pPr>
        <w:spacing w:line="240" w:lineRule="auto" w:after="40"/>
        <w:ind w:left="432" w:hanging="432"/>
      </w:pPr>
      <w:r>
        <w:rPr>
          <w:rFonts w:ascii="Times New Roman" w:hAnsi="Times New Roman"/>
          <w:sz w:val="18"/>
        </w:rPr>
        <w:t>[16] OECD, Frascati Manual 2015: Guidelines for Collecting and Reporting Data on Research and Experimental Development. Paris, Francia: OECD Publishing, 2015, doi: 10.1787/9789264239012-en.</w:t>
      </w:r>
    </w:p>
    <w:p>
      <w:pPr>
        <w:spacing w:line="240" w:lineRule="auto" w:after="40"/>
        <w:ind w:left="432" w:hanging="432"/>
      </w:pPr>
      <w:r>
        <w:rPr>
          <w:rFonts w:ascii="Times New Roman" w:hAnsi="Times New Roman"/>
          <w:sz w:val="18"/>
        </w:rPr>
        <w:t>[17] G. Shmueli, “To Explain or to Predict?”, Statistical Science, vol. 25, n.º 3, pp. 289-310, 2010, doi: 10.1214/10-STS330.</w:t>
      </w:r>
    </w:p>
    <w:p>
      <w:pPr>
        <w:spacing w:line="240" w:lineRule="auto" w:after="40"/>
        <w:ind w:left="432" w:hanging="432"/>
      </w:pPr>
      <w:r>
        <w:rPr>
          <w:rFonts w:ascii="Times New Roman" w:hAnsi="Times New Roman"/>
          <w:sz w:val="18"/>
        </w:rPr>
        <w:t>[18] A. R. Hevner, S. T. March, J. Park y S. Ram, “Design Science in Information Systems Research”, MIS Quarterly, vol. 28, n.º 1, pp. 75-105, 2004, doi: 10.2307/25148625.</w:t>
      </w:r>
    </w:p>
    <w:p>
      <w:pPr>
        <w:spacing w:line="240" w:lineRule="auto" w:after="40"/>
        <w:ind w:left="432" w:hanging="432"/>
      </w:pPr>
      <w:r>
        <w:rPr>
          <w:rFonts w:ascii="Times New Roman" w:hAnsi="Times New Roman"/>
          <w:sz w:val="18"/>
        </w:rPr>
        <w:t>[20] R. Hernández-Sampieri y C. P. Mendoza, Metodología de la investigación: las rutas cuantitativa, cualitativa y mixta. Ciudad de México, México: McGraw-Hill Education, 2018, ISBN 978-1-4562-6096-5.</w:t>
      </w:r>
    </w:p>
    <w:p>
      <w:pPr>
        <w:spacing w:line="240" w:lineRule="auto" w:after="40"/>
        <w:ind w:left="432" w:hanging="432"/>
      </w:pPr>
      <w:r>
        <w:rPr>
          <w:rFonts w:ascii="Times New Roman" w:hAnsi="Times New Roman"/>
          <w:sz w:val="18"/>
        </w:rPr>
        <w:t>[21] F. T. Liu, K. M. Ting y Z.-H. Zhou, “Isolation Forest”, en 2008 Eighth IEEE International Conference on Data Mining, Pisa, Italia, 2008, pp. 413-422, doi: 10.1109/ICDM.2008.17.</w:t>
      </w:r>
    </w:p>
    <w:p>
      <w:pPr>
        <w:spacing w:line="240" w:lineRule="auto" w:after="40"/>
        <w:ind w:left="432" w:hanging="432"/>
      </w:pPr>
      <w:r>
        <w:rPr>
          <w:rFonts w:ascii="Times New Roman" w:hAnsi="Times New Roman"/>
          <w:sz w:val="18"/>
        </w:rPr>
        <w:t>[22] H. R. Künsch, “The Jackknife and the Bootstrap for General Stationary Observations”, The Annals of Statistics, vol. 17, n.º 3, pp. 1217-1241, 1989, doi: 10.1214/aos/1176347265.</w:t>
      </w:r>
    </w:p>
    <w:p>
      <w:pPr>
        <w:spacing w:line="240" w:lineRule="auto" w:after="40"/>
        <w:ind w:left="432" w:hanging="432"/>
      </w:pPr>
      <w:r>
        <w:rPr>
          <w:rFonts w:ascii="Times New Roman" w:hAnsi="Times New Roman"/>
          <w:sz w:val="18"/>
        </w:rPr>
        <w:t>[23] A. Fisher, C. Rudin y F. Dominici, “All Models are Wrong, but Many are Useful: Learning a Variable’s Importance by Studying an Entire Class of Prediction Models Simultaneously”, Journal of Machine Learning Research, vol. 20, n.º 177, pp. 1-81, 2019.</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III. Metodología - Sistema inteligente para radioenlace rural altoandino</dc:title>
  <dc:subject>Metodología ejecutada, redactada en tiempo pasado</dc:subject>
  <dc:creator>Jose Ubelser Tamay Nuñez</dc:creator>
  <cp:keywords/>
  <dc:description>generated by python-docx</dc:description>
  <cp:lastModifiedBy/>
  <cp:revision>1</cp:revision>
  <dcterms:created xsi:type="dcterms:W3CDTF">2013-12-23T23:15:00Z</dcterms:created>
  <dcterms:modified xsi:type="dcterms:W3CDTF">2013-12-23T23:15:00Z</dcterms:modified>
  <cp:category/>
</cp:coreProperties>
</file>