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120"/>
        <w:jc w:val="center"/>
        <w:rPr>
          <w:b w:val="1"/>
          <w:bCs w:val="1"/>
          <w:caps w:val="1"/>
          <w:sz w:val="24"/>
          <w:szCs w:val="24"/>
        </w:rPr>
      </w:pPr>
      <w:r>
        <w:rPr>
          <w:b w:val="1"/>
          <w:bCs w:val="1"/>
          <w:caps w:val="1"/>
          <w:sz w:val="24"/>
          <w:szCs w:val="24"/>
          <w:rtl w:val="0"/>
          <w:lang w:val="en-US"/>
        </w:rPr>
        <w:t>Master-Level GNN Course Project</w:t>
      </w:r>
    </w:p>
    <w:p>
      <w:pPr>
        <w:pStyle w:val="Body A"/>
        <w:spacing w:after="120"/>
        <w:jc w:val="both"/>
        <w:rPr>
          <w:b w:val="1"/>
          <w:bCs w:val="1"/>
          <w:sz w:val="24"/>
          <w:szCs w:val="24"/>
        </w:rPr>
      </w:pPr>
    </w:p>
    <w:p>
      <w:pPr>
        <w:pStyle w:val="Body A"/>
        <w:spacing w:after="120"/>
        <w:jc w:val="both"/>
        <w:rPr>
          <w:b w:val="1"/>
          <w:bCs w:val="1"/>
          <w:sz w:val="24"/>
          <w:szCs w:val="24"/>
        </w:rPr>
      </w:pPr>
      <w:r>
        <w:rPr>
          <w:b w:val="1"/>
          <w:bCs w:val="1"/>
          <w:sz w:val="24"/>
          <w:szCs w:val="24"/>
          <w:rtl w:val="0"/>
          <w:lang w:val="en-US"/>
        </w:rPr>
        <w:t>Learning Collaboration Formation in European Life Sciences: A Heterogeneous Temporal Graph Neural Network Approach</w:t>
      </w:r>
    </w:p>
    <w:p>
      <w:pPr>
        <w:pStyle w:val="Body A"/>
        <w:spacing w:after="120"/>
        <w:jc w:val="both"/>
        <w:rPr>
          <w:sz w:val="24"/>
          <w:szCs w:val="24"/>
        </w:rPr>
      </w:pPr>
    </w:p>
    <w:p>
      <w:pPr>
        <w:pStyle w:val="Body A"/>
        <w:spacing w:after="120"/>
        <w:jc w:val="both"/>
        <w:rPr>
          <w:sz w:val="24"/>
          <w:szCs w:val="24"/>
          <w:lang w:val="es-ES_tradnl"/>
        </w:rPr>
      </w:pPr>
      <w:r>
        <w:rPr>
          <w:sz w:val="24"/>
          <w:szCs w:val="24"/>
          <w:rtl w:val="0"/>
          <w:lang w:val="es-ES_tradnl"/>
        </w:rPr>
        <w:t>Carlos Hechavarria</w:t>
      </w:r>
    </w:p>
    <w:p>
      <w:pPr>
        <w:pStyle w:val="Body A"/>
        <w:spacing w:after="120"/>
        <w:jc w:val="both"/>
        <w:rPr>
          <w:b w:val="1"/>
          <w:bCs w:val="1"/>
          <w:sz w:val="24"/>
          <w:szCs w:val="24"/>
        </w:rPr>
      </w:pPr>
    </w:p>
    <w:p>
      <w:pPr>
        <w:pStyle w:val="Body A"/>
        <w:spacing w:after="120"/>
        <w:jc w:val="both"/>
        <w:rPr>
          <w:b w:val="1"/>
          <w:bCs w:val="1"/>
          <w:sz w:val="24"/>
          <w:szCs w:val="24"/>
        </w:rPr>
      </w:pPr>
    </w:p>
    <w:p>
      <w:pPr>
        <w:pStyle w:val="Body A"/>
        <w:spacing w:after="120"/>
        <w:jc w:val="both"/>
        <w:rPr>
          <w:b w:val="1"/>
          <w:bCs w:val="1"/>
          <w:sz w:val="24"/>
          <w:szCs w:val="24"/>
        </w:rPr>
      </w:pPr>
    </w:p>
    <w:p>
      <w:pPr>
        <w:pStyle w:val="Body A"/>
        <w:spacing w:after="120"/>
        <w:jc w:val="both"/>
        <w:rPr>
          <w:b w:val="1"/>
          <w:bCs w:val="1"/>
          <w:sz w:val="24"/>
          <w:szCs w:val="24"/>
          <w:lang w:val="es-ES_tradnl"/>
        </w:rPr>
      </w:pPr>
      <w:r>
        <w:rPr>
          <w:b w:val="1"/>
          <w:bCs w:val="1"/>
          <w:sz w:val="24"/>
          <w:szCs w:val="24"/>
          <w:rtl w:val="0"/>
          <w:lang w:val="es-ES_tradnl"/>
        </w:rPr>
        <w:t>Introduction</w:t>
      </w:r>
    </w:p>
    <w:p>
      <w:pPr>
        <w:pStyle w:val="Body A"/>
        <w:spacing w:after="120"/>
        <w:jc w:val="both"/>
        <w:rPr>
          <w:sz w:val="24"/>
          <w:szCs w:val="24"/>
        </w:rPr>
      </w:pPr>
      <w:r>
        <w:rPr>
          <w:sz w:val="24"/>
          <w:szCs w:val="24"/>
          <w:rtl w:val="0"/>
          <w:lang w:val="en-US"/>
        </w:rPr>
        <w:t>The Life Sciences sector has undergone a profound transformation in the organization of innovation processes. Traditionally driven by in-house research and development (R&amp;D), biomedical innovation is increasingly shaped by collaborative arrangements that enable organizations to access external knowledge, share risks, and integrate complementary capabilities (Gassmann, Enkel, &amp; Chesbrough, 2010; Powell, Koput, &amp; Smith-Doerr, 1996). This shift reflects the growing complexity, cost, and uncertainty associated with developing medical technologies, particularly in fields such as biotechnology and oncology. Scientific knowledge is globally distributed, and successful innovation often requires the coordination of diverse expertise, infrastructures, and regulatory competencies across institutional and national boundaries. As a result, collaborative innovation networks have become a defining feature of contemporary Life Sciences ecosystems (WIPO, 2025).</w:t>
      </w:r>
    </w:p>
    <w:p>
      <w:pPr>
        <w:pStyle w:val="Body A"/>
        <w:spacing w:after="120"/>
        <w:jc w:val="both"/>
        <w:rPr>
          <w:sz w:val="24"/>
          <w:szCs w:val="24"/>
        </w:rPr>
      </w:pPr>
      <w:r>
        <w:rPr>
          <w:sz w:val="24"/>
          <w:szCs w:val="24"/>
          <w:rtl w:val="0"/>
          <w:lang w:val="en-US"/>
        </w:rPr>
        <w:t>This trend is particularly pronounced in the context of cross-border collaboration. Organizations engage in international partnerships to access specialized scientific knowledge, clinical trial infrastructures, and market opportunities that are not available domestically. Within the European Union, fostering such collaborations is especially critical due to the fragmented nature of its innovation landscape, which consists of multiple national systems with distinct regulatory and institutional characteristics. Strengthening cross-border linkages is therefore essential for enhancing knowledge diffusion, accelerating translational research, and maintaining global competitiveness in the Life Sciences sector (OECD, 2013; EFPIA, 2025).</w:t>
      </w:r>
    </w:p>
    <w:p>
      <w:pPr>
        <w:pStyle w:val="Body A"/>
        <w:spacing w:after="120"/>
        <w:jc w:val="both"/>
        <w:rPr>
          <w:sz w:val="24"/>
          <w:szCs w:val="24"/>
        </w:rPr>
      </w:pPr>
      <w:r>
        <w:rPr>
          <w:sz w:val="24"/>
          <w:szCs w:val="24"/>
          <w:rtl w:val="0"/>
          <w:lang w:val="en-US"/>
        </w:rPr>
        <w:t>A key domain where collaborative innovation is highly relevant is genetic engineering applied to oncology. Advances in molecular biology and recombinant DNA technologies have enabled the development of novel therapeutic approaches, including gene therapies, engineered antibodies, and cell-based immunotherapies. These innovations typically require the integration of expertise from multiple scientific disciplines and organizational types, such as firms, universities, research institutes, and healthcare providers. Consequently, innovation in this field is inherently networked, emerging from complex patterns of collaboration rather than isolated organizational efforts (Powell et al., 1996).</w:t>
      </w:r>
    </w:p>
    <w:p>
      <w:pPr>
        <w:pStyle w:val="Body A"/>
        <w:spacing w:after="120"/>
        <w:jc w:val="both"/>
        <w:rPr>
          <w:sz w:val="24"/>
          <w:szCs w:val="24"/>
        </w:rPr>
      </w:pPr>
      <w:r>
        <w:rPr>
          <w:sz w:val="24"/>
          <w:szCs w:val="24"/>
          <w:rtl w:val="0"/>
          <w:lang w:val="en-US"/>
        </w:rPr>
        <w:t>Patent data provide a valuable lens through which these collaborative dynamics can be analyzed. Co-invented patents, in particular, offer a traceable record of joint inventive activity between organizations and allow for the construction of collaboration networks. In such networks, organizations are represented as nodes and their co-invention relationships as connections, enabling the analysis of how knowledge is exchanged and recombined (Acosta, Coronado, &amp; Medina, 2023). This project builds on this perspective by conceptualizing collaboration formation as a link prediction problem, where the objective is to estimate the likelihood that two organizations will engage in future joint innovation activities.</w:t>
      </w:r>
    </w:p>
    <w:p>
      <w:pPr>
        <w:pStyle w:val="Body A"/>
        <w:spacing w:after="120"/>
        <w:jc w:val="both"/>
        <w:rPr>
          <w:sz w:val="24"/>
          <w:szCs w:val="24"/>
        </w:rPr>
      </w:pPr>
      <w:r>
        <w:rPr>
          <w:sz w:val="24"/>
          <w:szCs w:val="24"/>
          <w:rtl w:val="0"/>
          <w:lang w:val="en-US"/>
        </w:rPr>
        <w:t>The study is grounded in the literature on innovation networks, which emphasizes the importance of prior collaboration experience, network position, and technological characteristics in shaping partnership formation. Organizations with a history of collaboration tend to accumulate capabilities that facilitate future partnerships, including absorptive capacity, coordination routines, and trust-based relationships (Cohen &amp; Levinthal, 1990; Powell et al., 1996). At the same time, an organization</w:t>
      </w:r>
      <w:r>
        <w:rPr>
          <w:rFonts w:ascii="Arial Unicode MS" w:hAnsi="Arial Unicode MS" w:hint="default"/>
          <w:sz w:val="24"/>
          <w:szCs w:val="24"/>
          <w:rtl w:val="0"/>
          <w:lang w:val="en-US"/>
        </w:rPr>
        <w:t>’</w:t>
      </w:r>
      <w:r>
        <w:rPr>
          <w:sz w:val="24"/>
          <w:szCs w:val="24"/>
          <w:rtl w:val="0"/>
          <w:lang w:val="en-US"/>
        </w:rPr>
        <w:t>s position within the network</w:t>
      </w:r>
      <w:r>
        <w:rPr>
          <w:sz w:val="24"/>
          <w:szCs w:val="24"/>
          <w:rtl w:val="0"/>
          <w:lang w:val="en-US"/>
        </w:rPr>
        <w:t>—</w:t>
      </w:r>
      <w:r>
        <w:rPr>
          <w:sz w:val="24"/>
          <w:szCs w:val="24"/>
          <w:rtl w:val="0"/>
          <w:lang w:val="en-US"/>
        </w:rPr>
        <w:t>particularly its role as a connector between otherwise distant actors</w:t>
      </w:r>
      <w:r>
        <w:rPr>
          <w:sz w:val="24"/>
          <w:szCs w:val="24"/>
          <w:rtl w:val="0"/>
          <w:lang w:val="en-US"/>
        </w:rPr>
        <w:t>—</w:t>
      </w:r>
      <w:r>
        <w:rPr>
          <w:sz w:val="24"/>
          <w:szCs w:val="24"/>
          <w:rtl w:val="0"/>
          <w:lang w:val="en-US"/>
        </w:rPr>
        <w:t>can enhance its attractiveness as a collaboration partner (Gilsing, Nooteboom, Vanhaverbeke, Duysters, &amp; van den Oord, 2008).</w:t>
      </w:r>
    </w:p>
    <w:p>
      <w:pPr>
        <w:pStyle w:val="Body A"/>
        <w:spacing w:after="120"/>
        <w:jc w:val="both"/>
        <w:rPr>
          <w:sz w:val="24"/>
          <w:szCs w:val="24"/>
        </w:rPr>
      </w:pPr>
      <w:r>
        <w:rPr>
          <w:sz w:val="24"/>
          <w:szCs w:val="24"/>
          <w:rtl w:val="0"/>
          <w:lang w:val="en-US"/>
        </w:rPr>
        <w:t>In addition to relational factors, technological characteristics play a central role in collaboration dynamics. Organizations operating in technologically central domains are more likely to participate in diverse knowledge recombination processes, while similarities in technological expertise can reduce cognitive barriers to collaboration. At the same time, innovation often benefits from combining distinct but related knowledge bases, highlighting the importance of technological complementarity (Dyer &amp; Singh, 1998; Gilsing et al., 2008). Rather than treating these dimensions as separate variables, this project adopts a data-driven approach in which technological proximity and complementarity emerge from the interaction of organizations</w:t>
      </w:r>
      <w:r>
        <w:rPr>
          <w:rFonts w:ascii="Arial Unicode MS" w:hAnsi="Arial Unicode MS" w:hint="default"/>
          <w:sz w:val="24"/>
          <w:szCs w:val="24"/>
          <w:rtl w:val="0"/>
          <w:lang w:val="en-US"/>
        </w:rPr>
        <w:t xml:space="preserve">’ </w:t>
      </w:r>
      <w:r>
        <w:rPr>
          <w:sz w:val="24"/>
          <w:szCs w:val="24"/>
          <w:rtl w:val="0"/>
          <w:lang w:val="en-US"/>
        </w:rPr>
        <w:t>technological profiles.</w:t>
      </w:r>
    </w:p>
    <w:p>
      <w:pPr>
        <w:pStyle w:val="Body A"/>
        <w:spacing w:after="120"/>
        <w:jc w:val="both"/>
        <w:rPr>
          <w:sz w:val="24"/>
          <w:szCs w:val="24"/>
        </w:rPr>
      </w:pPr>
      <w:r>
        <w:rPr>
          <w:sz w:val="24"/>
          <w:szCs w:val="24"/>
          <w:rtl w:val="0"/>
          <w:lang w:val="en-US"/>
        </w:rPr>
        <w:t>To operationalize these theoretical mechanisms, the project leverages patent data to construct a collaboration network and derive quantitative features that capture both organizational attributes and network structure. Measures of prior collaboration experience and structural position are incorporated as node-level features, while organizations</w:t>
      </w:r>
      <w:r>
        <w:rPr>
          <w:rFonts w:ascii="Arial Unicode MS" w:hAnsi="Arial Unicode MS" w:hint="default"/>
          <w:sz w:val="24"/>
          <w:szCs w:val="24"/>
          <w:rtl w:val="0"/>
          <w:lang w:val="en-US"/>
        </w:rPr>
        <w:t xml:space="preserve">’ </w:t>
      </w:r>
      <w:r>
        <w:rPr>
          <w:sz w:val="24"/>
          <w:szCs w:val="24"/>
          <w:rtl w:val="0"/>
          <w:lang w:val="en-US"/>
        </w:rPr>
        <w:t>technological capabilities are represented through patent-based profiles. These features are integrated within a machine learning framework that learns patterns linking network structure and technological specialization to the formation of collaborative ties. Through this approach, the project aims to provide a systematic and predictive understanding of how innovation collaborations emerge in the European Life Sciences sector.</w:t>
      </w:r>
    </w:p>
    <w:p>
      <w:pPr>
        <w:pStyle w:val="Body A"/>
        <w:spacing w:after="120"/>
        <w:jc w:val="both"/>
        <w:rPr>
          <w:sz w:val="24"/>
          <w:szCs w:val="24"/>
        </w:rPr>
      </w:pPr>
    </w:p>
    <w:p>
      <w:pPr>
        <w:pStyle w:val="Body A"/>
        <w:spacing w:after="120"/>
        <w:jc w:val="both"/>
        <w:rPr>
          <w:b w:val="1"/>
          <w:bCs w:val="1"/>
          <w:sz w:val="24"/>
          <w:szCs w:val="24"/>
          <w:lang w:val="es-ES_tradnl"/>
        </w:rPr>
      </w:pPr>
      <w:r>
        <w:rPr>
          <w:b w:val="1"/>
          <w:bCs w:val="1"/>
          <w:sz w:val="24"/>
          <w:szCs w:val="24"/>
          <w:rtl w:val="0"/>
          <w:lang w:val="es-ES_tradnl"/>
        </w:rPr>
        <w:t>Problem definition</w:t>
      </w:r>
    </w:p>
    <w:p>
      <w:pPr>
        <w:pStyle w:val="Default"/>
        <w:suppressAutoHyphens w:val="1"/>
        <w:spacing w:before="0" w:after="120" w:line="240" w:lineRule="auto"/>
        <w:jc w:val="both"/>
      </w:pPr>
      <w:r>
        <w:rPr>
          <w:rtl w:val="0"/>
          <w:lang w:val="en-US"/>
        </w:rPr>
        <w:t>Identifying suitable collaboration partners in biotechnology remains a complex strategic problem, particularly in rapidly evolving domains such as cancer-related genetic engineering. Organizations must navigate a fundamental trade-off: potential collaborators need to be sufficiently similar in their technological knowledge bases to enable effective communication and coordination, yet sufficiently different to generate novel combinations of knowledge. While technological proximity lowers cognitive and coordination barriers, excessive similarity may constrain innovation outcomes by leading to incremental rather than radical advancements. Conversely, technological complementarity</w:t>
      </w:r>
      <w:r>
        <w:rPr>
          <w:rtl w:val="0"/>
          <w:lang w:val="en-US"/>
        </w:rPr>
        <w:t>—</w:t>
      </w:r>
      <w:r>
        <w:rPr>
          <w:rtl w:val="0"/>
          <w:lang w:val="en-US"/>
        </w:rPr>
        <w:t>where organizations possess distinct but related capabilities</w:t>
      </w:r>
      <w:r>
        <w:rPr>
          <w:rtl w:val="0"/>
          <w:lang w:val="en-US"/>
        </w:rPr>
        <w:t>—</w:t>
      </w:r>
      <w:r>
        <w:rPr>
          <w:rtl w:val="0"/>
          <w:lang w:val="en-US"/>
        </w:rPr>
        <w:t xml:space="preserve">enhances the potential for novel knowledge recombination but may introduce coordination challenges. Understanding how these competing dynamics jointly shape </w:t>
      </w:r>
      <w:r>
        <w:rPr>
          <w:rtl w:val="0"/>
          <w:lang w:val="es-ES_tradnl"/>
        </w:rPr>
        <w:t>the</w:t>
      </w:r>
      <w:r>
        <w:rPr>
          <w:rtl w:val="0"/>
          <w:lang w:val="fr-FR"/>
        </w:rPr>
        <w:t xml:space="preserve"> formation </w:t>
      </w:r>
      <w:r>
        <w:rPr>
          <w:rtl w:val="0"/>
          <w:lang w:val="es-ES_tradnl"/>
        </w:rPr>
        <w:t xml:space="preserve">of collaborations </w:t>
      </w:r>
      <w:r>
        <w:rPr>
          <w:rtl w:val="0"/>
          <w:lang w:val="en-US"/>
        </w:rPr>
        <w:t>remains a central challenge in the study of innovation networks.</w:t>
      </w:r>
    </w:p>
    <w:p>
      <w:pPr>
        <w:pStyle w:val="Default"/>
        <w:suppressAutoHyphens w:val="1"/>
        <w:spacing w:before="0" w:after="120" w:line="240" w:lineRule="auto"/>
        <w:jc w:val="both"/>
      </w:pPr>
    </w:p>
    <w:p>
      <w:pPr>
        <w:pStyle w:val="Default"/>
        <w:suppressAutoHyphens w:val="1"/>
        <w:spacing w:before="0" w:after="120" w:line="240" w:lineRule="auto"/>
        <w:jc w:val="both"/>
        <w:rPr>
          <w:b w:val="1"/>
          <w:bCs w:val="1"/>
        </w:rPr>
      </w:pPr>
      <w:r>
        <w:rPr>
          <w:b w:val="1"/>
          <w:bCs w:val="1"/>
          <w:rtl w:val="0"/>
          <w:lang w:val="en-US"/>
        </w:rPr>
        <w:t xml:space="preserve">Limitations of Traditional Approaches and </w:t>
      </w:r>
      <w:r>
        <w:rPr>
          <w:b w:val="1"/>
          <w:bCs w:val="1"/>
          <w:rtl w:val="0"/>
          <w:lang w:val="es-ES_tradnl"/>
        </w:rPr>
        <w:t xml:space="preserve">introduction of </w:t>
      </w:r>
      <w:r>
        <w:rPr>
          <w:b w:val="1"/>
          <w:bCs w:val="1"/>
          <w:rtl w:val="0"/>
          <w:lang w:val="en-US"/>
        </w:rPr>
        <w:t xml:space="preserve">a </w:t>
      </w:r>
      <w:r>
        <w:rPr>
          <w:b w:val="1"/>
          <w:bCs w:val="1"/>
          <w:rtl w:val="0"/>
          <w:lang w:val="es-ES_tradnl"/>
        </w:rPr>
        <w:t>GNN</w:t>
      </w:r>
      <w:r>
        <w:rPr>
          <w:b w:val="1"/>
          <w:bCs w:val="1"/>
          <w:rtl w:val="0"/>
          <w:lang w:val="fr-FR"/>
        </w:rPr>
        <w:t xml:space="preserve"> Perspective</w:t>
      </w:r>
    </w:p>
    <w:p>
      <w:pPr>
        <w:pStyle w:val="Default"/>
        <w:suppressAutoHyphens w:val="1"/>
        <w:spacing w:before="0" w:after="120" w:line="240" w:lineRule="auto"/>
        <w:jc w:val="both"/>
      </w:pPr>
      <w:r>
        <w:rPr>
          <w:rtl w:val="0"/>
          <w:lang w:val="en-US"/>
        </w:rPr>
        <w:t>Traditional empirical approaches have typically analyzed these mechanisms using regression models or predefined similarity metrics, treating proximity and complementarity as separate and independent drivers of collaboration</w:t>
      </w:r>
      <w:r>
        <w:rPr>
          <w:rtl w:val="0"/>
          <w:lang w:val="es-ES_tradnl"/>
        </w:rPr>
        <w:t xml:space="preserve"> (</w:t>
      </w:r>
      <w:r>
        <w:rPr>
          <w:rtl w:val="0"/>
          <w:lang w:val="en-US"/>
        </w:rPr>
        <w:t>Prato &amp; Nepelski, 2012</w:t>
      </w:r>
      <w:r>
        <w:rPr>
          <w:rtl w:val="0"/>
          <w:lang w:val="es-ES_tradnl"/>
        </w:rPr>
        <w:t xml:space="preserve">; </w:t>
      </w:r>
      <w:r>
        <w:rPr>
          <w:rtl w:val="0"/>
          <w:lang w:val="nl-NL"/>
        </w:rPr>
        <w:t>de Groote</w:t>
      </w:r>
      <w:r>
        <w:rPr>
          <w:rtl w:val="0"/>
          <w:lang w:val="es-ES_tradnl"/>
        </w:rPr>
        <w:t xml:space="preserve"> et al, 2023)</w:t>
      </w:r>
      <w:r>
        <w:rPr>
          <w:rtl w:val="0"/>
          <w:lang w:val="en-US"/>
        </w:rPr>
        <w:t>. However, such approaches are limited in their ability to capture the relational and interdependent nature of innovation processes. Collaboration does not occur in isolation but is embedded within evolving network structures, where prior ties, indirect connections, and positional advantages influence future partnerships. Moreover, technological proximity and complementarity do not operate as static variables but emerge through complex interactions between organizations</w:t>
      </w:r>
      <w:r>
        <w:rPr>
          <w:rFonts w:ascii="Arial Unicode MS" w:hAnsi="Arial Unicode MS" w:hint="default"/>
          <w:rtl w:val="0"/>
          <w:lang w:val="en-US"/>
        </w:rPr>
        <w:t xml:space="preserve">’ </w:t>
      </w:r>
      <w:r>
        <w:rPr>
          <w:rtl w:val="0"/>
          <w:lang w:val="en-US"/>
        </w:rPr>
        <w:t>knowledge profiles. To address these limitations, this project adopts a Graph Neural Network (GNN) approach tailored to the model architecture developed in this study, which combines temporal representation learning (via GRU-based embeddings), interaction-aware link prediction (via an MLP predictor), and optional dynamic attention mechanisms. This architecture enables the model to jointly learn from network structure, temporal collaboration patterns, and technological features, capturing nonlinear dependencies and higher-order interactions that are difficult to model using traditional methods. Within this framework, collaboration formation is operationalized as a link prediction problem, where the model estimates the probability of future co-invention ties between organizations.</w:t>
      </w:r>
    </w:p>
    <w:p>
      <w:pPr>
        <w:pStyle w:val="Default"/>
        <w:suppressAutoHyphens w:val="1"/>
        <w:spacing w:before="0" w:after="120" w:line="240" w:lineRule="auto"/>
        <w:jc w:val="both"/>
      </w:pPr>
      <w:r>
        <w:rPr>
          <w:rtl w:val="0"/>
          <w:lang w:val="en-US"/>
        </w:rPr>
        <w:t>Building on this framework, the project formulates four hypotheses that guide both the modeling strategy and the empirical analysis. First, organizations with greater prior collaboration experience are expected to be more likely to form new ties, reflecting accumulated absorptive capacity and network embeddedness. Second, organizations occupying more central positions within the collaboration network are expected to have a higher probability of attracting new partners, due to their role as knowledge brokers. Third, collaboration likelihood is expected to be highest at moderate levels of technological proximity, reflecting a balance between cognitive compatibility and diversity. Fourth, organizations with complementary technological capabilities within related domains are expected to be more likely to collaborate, as such combinations enable novel knowledge recombination. Rather than imposing these relationships ex ante, the proposed GNN model allows these mechanisms to emerge endogenously through learned node representations and interaction patterns, providing a more flexible and data-driven understanding of collaboration formation in the European Life Sciences innovation network.</w:t>
      </w:r>
    </w:p>
    <w:p>
      <w:pPr>
        <w:pStyle w:val="Default"/>
        <w:suppressAutoHyphens w:val="1"/>
        <w:spacing w:before="0" w:after="120" w:line="240" w:lineRule="auto"/>
        <w:jc w:val="both"/>
      </w:pPr>
    </w:p>
    <w:p>
      <w:pPr>
        <w:pStyle w:val="Default"/>
        <w:suppressAutoHyphens w:val="1"/>
        <w:spacing w:before="0" w:after="120" w:line="240" w:lineRule="auto"/>
        <w:jc w:val="both"/>
        <w:rPr>
          <w:b w:val="1"/>
          <w:bCs w:val="1"/>
        </w:rPr>
      </w:pPr>
      <w:r>
        <w:rPr>
          <w:b w:val="1"/>
          <w:bCs w:val="1"/>
          <w:rtl w:val="0"/>
          <w:lang w:val="en-US"/>
        </w:rPr>
        <w:t>Literature Review</w:t>
      </w:r>
    </w:p>
    <w:p>
      <w:pPr>
        <w:pStyle w:val="Default"/>
        <w:suppressAutoHyphens w:val="1"/>
        <w:spacing w:before="0" w:after="120" w:line="240" w:lineRule="auto"/>
        <w:jc w:val="both"/>
      </w:pPr>
      <w:r>
        <w:rPr>
          <w:rtl w:val="0"/>
          <w:lang w:val="en-US"/>
        </w:rPr>
        <w:t>The prediction of collaboration formation has traditionally been framed as a link prediction problem in networked systems, where the objective is to estimate the likelihood of future ties between actors. Early approaches relied on heuristic similarity measures derived from network topology, such as common neighbors or preferential attachment, as well as supervised models based on handcrafted structural features. While effective in capturing local connectivity patterns, these methods are limited by their reliance on pairwise relationships and their inability to incorporate semantic or technological information underlying collaboration processes (Li &amp; Xie, 2026). Subsequent developments introduced hybrid models that integrate network structure with content-based similarity</w:t>
      </w:r>
      <w:r>
        <w:rPr>
          <w:rtl w:val="0"/>
          <w:lang w:val="es-ES_tradnl"/>
        </w:rPr>
        <w:t xml:space="preserve">, </w:t>
      </w:r>
      <w:r>
        <w:rPr>
          <w:rtl w:val="0"/>
          <w:lang w:val="en-US"/>
        </w:rPr>
        <w:t>such as topic overlap in publications or patents</w:t>
      </w:r>
      <w:r>
        <w:rPr>
          <w:rtl w:val="0"/>
          <w:lang w:val="es-ES_tradnl"/>
        </w:rPr>
        <w:t xml:space="preserve">, </w:t>
      </w:r>
      <w:r>
        <w:rPr>
          <w:rtl w:val="0"/>
          <w:lang w:val="en-US"/>
        </w:rPr>
        <w:t>yet these approaches still rely on shallow representations and struggle to capture nonlinear and higher-order dependencies.</w:t>
      </w:r>
    </w:p>
    <w:p>
      <w:pPr>
        <w:pStyle w:val="Default"/>
        <w:suppressAutoHyphens w:val="1"/>
        <w:spacing w:before="0" w:after="120" w:line="240" w:lineRule="auto"/>
        <w:jc w:val="both"/>
      </w:pPr>
      <w:r>
        <w:rPr>
          <w:rtl w:val="0"/>
          <w:lang w:val="en-US"/>
        </w:rPr>
        <w:t>The emergence of graph representation learning has significantly advanced this field by enabling end-to-end learning of node embeddings that jointly encode structural and attribute information. Node embedding methods such as Node2Vec (Grover &amp; Leskovec, 2016) introduced random walk-based approaches to capture both local and global network structure, providing a scalable baseline for link prediction. However, these methods remain limited to homogeneous graphs and cannot directly incorporate node features. Graph Neural Networks (GNNs), particularly Graph Convolutional Networks (GCNs) (Kipf &amp; Welling, 2017), address this limitation by introducing a message-passing framework in which node representations are iteratively updated through neighborhood aggregation. This allows the model to integrate both structural relationships and node attributes, leading to improved performance in link prediction tasks. Extensions such as Graph Attention Networks (GATs) (Veli</w:t>
      </w:r>
      <w:r>
        <w:rPr>
          <w:rtl w:val="0"/>
          <w:lang w:val="en-US"/>
        </w:rPr>
        <w:t>č</w:t>
      </w:r>
      <w:r>
        <w:rPr>
          <w:rtl w:val="0"/>
          <w:lang w:val="en-US"/>
        </w:rPr>
        <w:t>kovi</w:t>
      </w:r>
      <w:r>
        <w:rPr>
          <w:rtl w:val="0"/>
          <w:lang w:val="en-US"/>
        </w:rPr>
        <w:t xml:space="preserve">ć </w:t>
      </w:r>
      <w:r>
        <w:rPr>
          <w:rtl w:val="0"/>
          <w:lang w:val="en-US"/>
        </w:rPr>
        <w:t>et al., 2018) further enhance this framework by assigning adaptive weights to neighbors, enabling the model to learn which connections are more informative.</w:t>
      </w:r>
    </w:p>
    <w:p>
      <w:pPr>
        <w:pStyle w:val="Default"/>
        <w:suppressAutoHyphens w:val="1"/>
        <w:spacing w:before="0" w:after="120" w:line="240" w:lineRule="auto"/>
        <w:jc w:val="both"/>
      </w:pPr>
      <w:r>
        <w:rPr>
          <w:rtl w:val="0"/>
          <w:lang w:val="en-US"/>
        </w:rPr>
        <w:t>Despite these advances, many real-world systems</w:t>
      </w:r>
      <w:r>
        <w:rPr>
          <w:rtl w:val="0"/>
          <w:lang w:val="en-US"/>
        </w:rPr>
        <w:t>—</w:t>
      </w:r>
      <w:r>
        <w:rPr>
          <w:rtl w:val="0"/>
          <w:lang w:val="en-US"/>
        </w:rPr>
        <w:t>particularly innovation networks</w:t>
      </w:r>
      <w:r>
        <w:rPr>
          <w:rtl w:val="0"/>
          <w:lang w:val="en-US"/>
        </w:rPr>
        <w:t>—</w:t>
      </w:r>
      <w:r>
        <w:rPr>
          <w:rtl w:val="0"/>
          <w:lang w:val="en-US"/>
        </w:rPr>
        <w:t>are inherently heterogeneous, involving multiple types of entities and relationships. To address this, heterogeneous graph embedding methods such as metapath2vec (Dong et al., 2017) extend random walk-based approaches by defining metapaths that capture specific semantic relationships across node types. These methods allow embeddings to reflect higher-order relational structures, such as shared inventors or technological domains, which are critical for understanding collaboration dynamics. More broadly, heterogeneous graph neural networks and representation learning frameworks have demonstrated the importance of integrating multiple node and edge types to capture cross-domain interactions and improve predictive performance (Rozemberczki et al., 2021).</w:t>
      </w:r>
    </w:p>
    <w:p>
      <w:pPr>
        <w:pStyle w:val="Default"/>
        <w:suppressAutoHyphens w:val="1"/>
        <w:spacing w:before="0" w:after="120" w:line="240" w:lineRule="auto"/>
        <w:jc w:val="both"/>
      </w:pPr>
      <w:r>
        <w:rPr>
          <w:rtl w:val="0"/>
          <w:lang w:val="en-US"/>
        </w:rPr>
        <w:t>A key limitation of both homogeneous and heterogeneous graph approaches, however, is their reliance on pairwise link representations, which fail to capture the group-based nature of collaboration. In response, recent work has explored hypergraph-based models, where interactions are represented as higher-order relationships involving multiple entities simultaneously. Hypergraph Neural Networks (HGNNs) preserve the integrity of collaborative events</w:t>
      </w:r>
      <w:r>
        <w:rPr>
          <w:rtl w:val="0"/>
          <w:lang w:val="es-ES_tradnl"/>
        </w:rPr>
        <w:t xml:space="preserve">, </w:t>
      </w:r>
      <w:r>
        <w:rPr>
          <w:rtl w:val="0"/>
          <w:lang w:val="en-US"/>
        </w:rPr>
        <w:t>such as multi-inventor patents</w:t>
      </w:r>
      <w:r>
        <w:rPr>
          <w:rtl w:val="0"/>
          <w:lang w:val="es-ES_tradnl"/>
        </w:rPr>
        <w:t xml:space="preserve">, </w:t>
      </w:r>
      <w:r>
        <w:rPr>
          <w:rtl w:val="0"/>
          <w:lang w:val="en-US"/>
        </w:rPr>
        <w:t>and enable the modeling of complex many-to-many interactions that are otherwise decomposed into pairwise links (Li &amp; Xie, 2026). These approaches have been shown to improve link prediction performance by capturing collective dependencies and richer relational semantics.</w:t>
      </w:r>
    </w:p>
    <w:p>
      <w:pPr>
        <w:pStyle w:val="Default"/>
        <w:suppressAutoHyphens w:val="1"/>
        <w:spacing w:before="0" w:after="120" w:line="240" w:lineRule="auto"/>
        <w:jc w:val="both"/>
      </w:pPr>
      <w:r>
        <w:rPr>
          <w:rtl w:val="0"/>
          <w:lang w:val="en-US"/>
        </w:rPr>
        <w:t>In parallel, the growing availability of temporal data has led to the development of spatiotemporal graph learning models, which integrate network structure with temporal dynamics. These models conceptualize data as sequences of graph snapshots and combine graph neural networks with recurrent architectures such as Long Short-Term Memory (LSTM) or Gated Recurrent Units (GRU). For example, the Temporal Graph Convolutional Network (T-GCN) combines graph convolutions with GRU-based temporal encoding to jointly model spatial and temporal dependencies (Zhao et al., 2018). More generally, spatiotemporal graph learning frameworks demonstrate that combining structural and temporal information significantly improves predictive performance in dynamic systems (Rozemberczki et al., 2021). These approaches are particularly relevant for innovation networks, where collaboration patterns and technological capabilities evolve over time.</w:t>
      </w:r>
    </w:p>
    <w:p>
      <w:pPr>
        <w:pStyle w:val="Default"/>
        <w:suppressAutoHyphens w:val="1"/>
        <w:spacing w:before="0" w:after="120" w:line="240" w:lineRule="auto"/>
        <w:jc w:val="both"/>
      </w:pPr>
      <w:r>
        <w:rPr>
          <w:rtl w:val="0"/>
          <w:lang w:val="en-US"/>
        </w:rPr>
        <w:t>Building on these developments, recent research has highlighted several key gaps in existing approaches to collaboration prediction. First, many models rely on similarity-based mechanisms, which capture technological proximity but fail to account for complementarity between heterogeneous capabilities. Second, most approaches either focus on structural information or content features, without fully integrating both in a unified framework. Third, temporal dynamics are often treated as an extension rather than a core component of representation learning. Addressing these limitations requires models that can jointly capture heterogeneous relationships, temporal evolution, and nonlinear interaction effects.</w:t>
      </w:r>
    </w:p>
    <w:p>
      <w:pPr>
        <w:pStyle w:val="Default"/>
        <w:suppressAutoHyphens w:val="1"/>
        <w:spacing w:before="0" w:after="120" w:line="240" w:lineRule="auto"/>
        <w:jc w:val="both"/>
      </w:pPr>
      <w:r>
        <w:rPr>
          <w:rtl w:val="0"/>
          <w:lang w:val="en-US"/>
        </w:rPr>
        <w:t xml:space="preserve">To address these limitations, this project adopts a two-stage architecture. In the first stage, a heterogeneous graph representation linking applicants, patents, inventors, and CPC classes is used to learn metapath-based applicant embeddings via MetaPath2Vec. These embeddings capture higher-order relational structure </w:t>
      </w:r>
      <w:r>
        <w:rPr>
          <w:rtl w:val="0"/>
          <w:lang w:val="en-US"/>
        </w:rPr>
        <w:t xml:space="preserve">— </w:t>
      </w:r>
      <w:r>
        <w:rPr>
          <w:rtl w:val="0"/>
          <w:lang w:val="en-US"/>
        </w:rPr>
        <w:t xml:space="preserve">direct co-invention (APA), shared inventor networks (API), and technological domain overlap (APC) </w:t>
      </w:r>
      <w:r>
        <w:rPr>
          <w:rtl w:val="0"/>
          <w:lang w:val="en-US"/>
        </w:rPr>
        <w:t xml:space="preserve">— </w:t>
      </w:r>
      <w:r>
        <w:rPr>
          <w:rtl w:val="0"/>
          <w:lang w:val="en-US"/>
        </w:rPr>
        <w:t>without requiring manually engineered similarity measures. Crucially, this heterogeneous structure is only used at the embedding stage: the resulting representations are applicant-level dense vectors, and the full multi-relational graph is not propagated through the temporal model.</w:t>
      </w:r>
    </w:p>
    <w:p>
      <w:pPr>
        <w:pStyle w:val="Default"/>
        <w:suppressAutoHyphens w:val="1"/>
        <w:spacing w:before="0" w:after="120" w:line="240" w:lineRule="auto"/>
        <w:jc w:val="both"/>
      </w:pPr>
      <w:r>
        <w:rPr>
          <w:rtl w:val="0"/>
          <w:lang w:val="en-US"/>
        </w:rPr>
        <w:t>In the second stage, yearly graph snapshots of applicant-to-applicant co-invention edges are constructed and passed through a GCN encoder, a GRU for temporal aggregation, and an MLP decoder for link scoring. This design allows the model to jointly learn from structural position, temporal collaboration dynamics, and nonlinear interaction patterns between organizations. Within this framework, collaboration formation is operationalized as a link prediction problem, where the model estimates the probability of future co-invention ties.</w:t>
      </w:r>
    </w:p>
    <w:p>
      <w:pPr>
        <w:pStyle w:val="Default"/>
        <w:suppressAutoHyphens w:val="1"/>
        <w:spacing w:before="0" w:after="120" w:line="240" w:lineRule="auto"/>
        <w:jc w:val="both"/>
      </w:pPr>
    </w:p>
    <w:p>
      <w:pPr>
        <w:pStyle w:val="Default"/>
        <w:suppressAutoHyphens w:val="1"/>
        <w:spacing w:before="0" w:after="120" w:line="240" w:lineRule="auto"/>
        <w:jc w:val="both"/>
        <w:rPr>
          <w:b w:val="1"/>
          <w:bCs w:val="1"/>
          <w:lang w:val="it-IT"/>
        </w:rPr>
      </w:pPr>
      <w:r>
        <w:rPr>
          <w:b w:val="1"/>
          <w:bCs w:val="1"/>
          <w:rtl w:val="0"/>
          <w:lang w:val="it-IT"/>
        </w:rPr>
        <w:t>3. Data Audit</w:t>
      </w:r>
    </w:p>
    <w:p>
      <w:pPr>
        <w:pStyle w:val="Default"/>
        <w:suppressAutoHyphens w:val="1"/>
        <w:spacing w:before="0" w:after="120" w:line="240" w:lineRule="auto"/>
        <w:jc w:val="both"/>
      </w:pPr>
      <w:r>
        <w:rPr>
          <w:rtl w:val="0"/>
          <w:lang w:val="en-US"/>
        </w:rPr>
        <w:t>The empirical dataset used in this study is constructed from patent records retrieved from Lens.org, an open innovation platform that aggregates global patent information from multiple patent offices, including the European Patent Office (EPO), the United States Patent and Trademark Office (USPTO), and the World Intellectual Property Organization (WIPO). Lens provides structured patent metadata, including applicant organizations, inventors, technological classifications, patent family information, and bibliographic attributes such as publication dates. These attributes allow the reconstruction of technological profiles of organizations and the identification of collaboration relationships through co-invention activities.</w:t>
      </w:r>
    </w:p>
    <w:p>
      <w:pPr>
        <w:pStyle w:val="Default"/>
        <w:suppressAutoHyphens w:val="1"/>
        <w:spacing w:before="0" w:after="120" w:line="240" w:lineRule="auto"/>
        <w:jc w:val="both"/>
      </w:pPr>
      <w:r>
        <w:rPr>
          <w:rtl w:val="0"/>
          <w:lang w:val="en-US"/>
        </w:rPr>
        <w:t>The dataset focuses on genetic engineering technologies related to cancer research, identified through the Cooperative Patent Classification (CPC) class C12N15, which corresponds to inventions involving recombinant DNA technologies and genetic engineering. To ensure relevance to oncology applications, the search strategy also includes patents containing cancer-related keywords in the title, abstract, or claims. Furthermore, the dataset is restricted to patents in which at least one applicant organization is located in a European Union member state, enabling the analysis to focus on collaboration patterns within the European Life Sciences innovation ecosystem.</w:t>
      </w:r>
    </w:p>
    <w:p>
      <w:pPr>
        <w:pStyle w:val="Default"/>
        <w:suppressAutoHyphens w:val="1"/>
        <w:spacing w:before="0" w:after="120" w:line="240" w:lineRule="auto"/>
        <w:jc w:val="both"/>
      </w:pPr>
      <w:r>
        <w:rPr>
          <w:rtl w:val="0"/>
          <w:lang w:val="en-US"/>
        </w:rPr>
        <w:t>The resulting dataset contains 3,180 patent records, each representing a patent document that satisfies the search criteria. The dataset includes several key variables relevant to the study. These include the jurisdiction of the patent filing, a unique Lens identifier (Lens ID), publication date and year, priority information, and the list of applicant organizations and inventors associated with each patent. In addition, the dataset contains technological classifications in both CPC and IPC systems, as well as information on patent families, including the size of the simple patent family and the list of simple family members. These attributes allow the identification of technological domains, the temporal ordering of innovation activities, and the reconstruction of collaboration networks.</w:t>
      </w:r>
    </w:p>
    <w:p>
      <w:pPr>
        <w:pStyle w:val="Default"/>
        <w:suppressAutoHyphens w:val="1"/>
        <w:spacing w:before="0" w:after="120" w:line="240" w:lineRule="auto"/>
        <w:jc w:val="both"/>
      </w:pPr>
      <w:r>
        <w:rPr>
          <w:rtl w:val="0"/>
          <w:lang w:val="en-US"/>
        </w:rPr>
        <w:t>The raw dataset includes the following variables: jurisdiction, Lens ID, publication date, publication year, priority numbers, earliest priority date, applicants, inventors, owners, simple family size, simple family members, CPC classifications, and IPC classifications. Patent family information is used to identify related filings that correspond to the same invention across multiple jurisdictions. Because a single invention may generate multiple patent documents, patent family information is necessary to detect potential duplication in the dataset and to prevent the overcounting of collaborative innovation events.</w:t>
      </w:r>
    </w:p>
    <w:p>
      <w:pPr>
        <w:pStyle w:val="Default"/>
        <w:suppressAutoHyphens w:val="1"/>
        <w:spacing w:before="0" w:after="120" w:line="240" w:lineRule="auto"/>
        <w:jc w:val="both"/>
      </w:pPr>
      <w:r>
        <w:rPr>
          <w:rtl w:val="0"/>
          <w:lang w:val="en-US"/>
        </w:rPr>
        <w:t>All patent records in the dataset include at least one applicant organization, resulting in 3,180 observations with valid applicant information. The applicant field provides the basis for constructing the collaboration network, as organizations appearing together as co-applicants on a patent are interpreted as engaging in a collaborative innovation activity. The applicants listed in each patent record are separated using a standardized delimiter, which allows them to be parsed and transformed into lists of organizations for network construction.</w:t>
      </w:r>
    </w:p>
    <w:p>
      <w:pPr>
        <w:pStyle w:val="Default"/>
        <w:suppressAutoHyphens w:val="1"/>
        <w:spacing w:before="0" w:after="120" w:line="240" w:lineRule="auto"/>
        <w:jc w:val="both"/>
      </w:pPr>
      <w:r>
        <w:rPr>
          <w:rtl w:val="0"/>
          <w:lang w:val="en-US"/>
        </w:rPr>
        <w:t>Using this information, the patent dataset is converted into an organization-level co-invention network. In this representation, nodes correspond to organizations appearing as patent applicants, and edges represent collaborative relationships between organizations that appear together on the same patent document. For each patent containing more than one applicant organization, all possible pairs of organizations are generated, representing potential collaboration ties. This procedure yields 13,505 raw collaboration pairs, corresponding to all observed co-application relationships extracted from the patent dataset.</w:t>
      </w:r>
    </w:p>
    <w:p>
      <w:pPr>
        <w:pStyle w:val="Default"/>
        <w:suppressAutoHyphens w:val="1"/>
        <w:spacing w:before="0" w:after="120" w:line="240" w:lineRule="auto"/>
        <w:jc w:val="both"/>
      </w:pPr>
      <w:r>
        <w:rPr>
          <w:rtl w:val="0"/>
          <w:lang w:val="en-US"/>
        </w:rPr>
        <w:t>Because organizations may collaborate multiple times across different patents, repeated collaboration pairs are aggregated to obtain a unique edge list representing the intensity of collaboration between organizations. After aggregation, the dataset contains 12,320 unique collaboration edges. The resulting network contains 4,143 distinct organizations, which constitute the nodes of the collaboration network. When represented as a graph, the network includes 4,143 nodes and 12,047 edges, reflecting the collaborative relationships observed among European organizations engaged in cancer-related genetic engineering technologies.</w:t>
      </w:r>
    </w:p>
    <w:p>
      <w:pPr>
        <w:pStyle w:val="Default"/>
        <w:suppressAutoHyphens w:val="1"/>
        <w:spacing w:before="0" w:after="120" w:line="240" w:lineRule="auto"/>
        <w:jc w:val="both"/>
      </w:pPr>
      <w:r>
        <w:rPr>
          <w:rtl w:val="0"/>
          <w:lang w:val="en-US"/>
        </w:rPr>
        <w:t>Several data preparation challenges arise when working with patent datasets. First, organizations may appear under multiple name variants due to abbreviations, spelling differences, or institutional changes such as mergers and acquisitions. These inconsistencies can fragment the representation of organizations within the collaboration network. To mitigate this issue, applicant names are standardized during preprocessing using rule-based cleaning and fuzzy string matching techniques. This procedure improves the consistency of organizational identifiers and ensures that collaborations are correctly attributed.</w:t>
      </w:r>
    </w:p>
    <w:p>
      <w:pPr>
        <w:pStyle w:val="Default"/>
        <w:suppressAutoHyphens w:val="1"/>
        <w:spacing w:before="0" w:after="120" w:line="240" w:lineRule="auto"/>
        <w:jc w:val="both"/>
      </w:pPr>
      <w:r>
        <w:rPr>
          <w:rtl w:val="0"/>
          <w:lang w:val="en-US"/>
        </w:rPr>
        <w:t>Second, patent family structures can introduce potential duplication because the same invention may be filed in multiple jurisdictions. The dataset therefore includes information on simple patent family membership, allowing related patent documents to be identified during preprocessing. This information helps ensure that collaborative relationships are not artificially inflated by multiple filings corresponding to the same invention.</w:t>
      </w:r>
    </w:p>
    <w:p>
      <w:pPr>
        <w:pStyle w:val="Default"/>
        <w:suppressAutoHyphens w:val="1"/>
        <w:spacing w:before="0" w:after="120" w:line="240" w:lineRule="auto"/>
        <w:jc w:val="both"/>
      </w:pPr>
      <w:r>
        <w:rPr>
          <w:rtl w:val="0"/>
          <w:lang w:val="en-US"/>
        </w:rPr>
        <w:t>Despite these limitations, patent data provide a rich and widely used source for analyzing technological innovation and collaboration patterns. The combination of applicant information, technological classifications, and patent family metadata makes the dataset particularly suitable for constructing collaboration networks and studying how technological specialization and network structures influence the formation of innovation partnerships.</w:t>
      </w:r>
    </w:p>
    <w:p>
      <w:pPr>
        <w:pStyle w:val="Default"/>
        <w:suppressAutoHyphens w:val="1"/>
        <w:spacing w:before="0" w:after="120" w:line="240" w:lineRule="auto"/>
        <w:jc w:val="both"/>
      </w:pPr>
    </w:p>
    <w:p>
      <w:pPr>
        <w:pStyle w:val="Default"/>
        <w:suppressAutoHyphens w:val="1"/>
        <w:spacing w:before="0" w:after="120" w:line="240" w:lineRule="auto"/>
        <w:jc w:val="both"/>
        <w:rPr>
          <w:b w:val="1"/>
          <w:bCs w:val="1"/>
        </w:rPr>
      </w:pPr>
      <w:r>
        <w:rPr>
          <w:b w:val="1"/>
          <w:bCs w:val="1"/>
          <w:rtl w:val="0"/>
          <w:lang w:val="en-US"/>
        </w:rPr>
        <w:t>5. Modeling Strategy</w:t>
      </w:r>
    </w:p>
    <w:p>
      <w:pPr>
        <w:pStyle w:val="Default"/>
        <w:suppressAutoHyphens w:val="1"/>
        <w:spacing w:before="0" w:after="120" w:line="240" w:lineRule="auto"/>
        <w:jc w:val="both"/>
      </w:pPr>
      <w:r>
        <w:rPr>
          <w:rtl w:val="0"/>
          <w:lang w:val="en-US"/>
        </w:rPr>
        <w:t>This study develops a heterogeneous temporal graph learning framework to predict collaboration formation within the European cancer biotechnology innovation network. Rather than comparing unrelated baseline models, the empirical strategy follows a progressive model construction approach, where each component of the final architecture is introduced, evaluated, and theoretically motivated. The objective is to model collaboration formation as an emergent outcome of heterogeneous network structure, technological relationships, and temporal dynamics.</w:t>
      </w:r>
    </w:p>
    <w:p>
      <w:pPr>
        <w:pStyle w:val="Default"/>
        <w:suppressAutoHyphens w:val="1"/>
        <w:spacing w:before="0" w:after="120" w:line="240" w:lineRule="auto"/>
        <w:jc w:val="both"/>
      </w:pPr>
      <w:r>
        <w:rPr>
          <w:rtl w:val="0"/>
          <w:lang w:val="en-US"/>
        </w:rPr>
        <w:t>The modeling process begins with the construction of a heterogeneous innovation network derived from patent data. In this network, multiple node types are explicitly represented, including applicants (organizations), patents, inventors, and technological classes (CPC). Edges capture the relationships between these entities, such as applicant</w:t>
      </w:r>
      <w:r>
        <w:rPr>
          <w:rtl w:val="0"/>
          <w:lang w:val="en-US"/>
        </w:rPr>
        <w:t>–</w:t>
      </w:r>
      <w:r>
        <w:rPr>
          <w:rtl w:val="0"/>
          <w:lang w:val="en-US"/>
        </w:rPr>
        <w:t>patent ownership, inventor</w:t>
      </w:r>
      <w:r>
        <w:rPr>
          <w:rtl w:val="0"/>
          <w:lang w:val="en-US"/>
        </w:rPr>
        <w:t>–</w:t>
      </w:r>
      <w:r>
        <w:rPr>
          <w:rtl w:val="0"/>
          <w:lang w:val="en-US"/>
        </w:rPr>
        <w:t>patent contributions, and patent</w:t>
      </w:r>
      <w:r>
        <w:rPr>
          <w:rtl w:val="0"/>
          <w:lang w:val="en-US"/>
        </w:rPr>
        <w:t>–</w:t>
      </w:r>
      <w:r>
        <w:rPr>
          <w:rtl w:val="0"/>
          <w:lang w:val="en-US"/>
        </w:rPr>
        <w:t>technology classifications. This heterogeneous representation allows the model to capture the multi-relational nature of innovation processes, where collaboration is not only shaped by direct ties but also by shared technological domains, co-invention structures, and indirect connections across the innovation system.</w:t>
      </w:r>
    </w:p>
    <w:p>
      <w:pPr>
        <w:pStyle w:val="Default"/>
        <w:suppressAutoHyphens w:val="1"/>
        <w:spacing w:before="0" w:after="120" w:line="240" w:lineRule="auto"/>
        <w:jc w:val="both"/>
      </w:pPr>
      <w:r>
        <w:rPr>
          <w:rtl w:val="0"/>
          <w:lang w:val="en-US"/>
        </w:rPr>
        <w:t>To extract meaningful structural information from this heterogeneous graph, the study employs a metapath-based embedding strategy. Specifically, a set of theoretically informed metapaths is defined to capture different mechanisms of collaboration formation. These include paths such as applicant</w:t>
      </w:r>
      <w:r>
        <w:rPr>
          <w:rtl w:val="0"/>
          <w:lang w:val="en-US"/>
        </w:rPr>
        <w:t>–</w:t>
      </w:r>
      <w:r>
        <w:rPr>
          <w:rtl w:val="0"/>
          <w:lang w:val="de-DE"/>
        </w:rPr>
        <w:t>patent</w:t>
      </w:r>
      <w:r>
        <w:rPr>
          <w:rtl w:val="0"/>
          <w:lang w:val="en-US"/>
        </w:rPr>
        <w:t>–</w:t>
      </w:r>
      <w:r>
        <w:rPr>
          <w:rtl w:val="0"/>
          <w:lang w:val="en-US"/>
        </w:rPr>
        <w:t>applicant (capturing direct co-invention), applicant</w:t>
      </w:r>
      <w:r>
        <w:rPr>
          <w:rtl w:val="0"/>
          <w:lang w:val="en-US"/>
        </w:rPr>
        <w:t>–</w:t>
      </w:r>
      <w:r>
        <w:rPr>
          <w:rtl w:val="0"/>
          <w:lang w:val="de-DE"/>
        </w:rPr>
        <w:t>patent</w:t>
      </w:r>
      <w:r>
        <w:rPr>
          <w:rtl w:val="0"/>
          <w:lang w:val="en-US"/>
        </w:rPr>
        <w:t>–</w:t>
      </w:r>
      <w:r>
        <w:rPr>
          <w:rtl w:val="0"/>
          <w:lang w:val="it-IT"/>
        </w:rPr>
        <w:t>inventor</w:t>
      </w:r>
      <w:r>
        <w:rPr>
          <w:rtl w:val="0"/>
          <w:lang w:val="en-US"/>
        </w:rPr>
        <w:t>–</w:t>
      </w:r>
      <w:r>
        <w:rPr>
          <w:rtl w:val="0"/>
          <w:lang w:val="de-DE"/>
        </w:rPr>
        <w:t>patent</w:t>
      </w:r>
      <w:r>
        <w:rPr>
          <w:rtl w:val="0"/>
          <w:lang w:val="en-US"/>
        </w:rPr>
        <w:t>–</w:t>
      </w:r>
      <w:r>
        <w:rPr>
          <w:rtl w:val="0"/>
          <w:lang w:val="en-US"/>
        </w:rPr>
        <w:t>applicant (capturing shared inventor networks), and applicant</w:t>
      </w:r>
      <w:r>
        <w:rPr>
          <w:rtl w:val="0"/>
          <w:lang w:val="en-US"/>
        </w:rPr>
        <w:t>–</w:t>
      </w:r>
      <w:r>
        <w:rPr>
          <w:rtl w:val="0"/>
          <w:lang w:val="de-DE"/>
        </w:rPr>
        <w:t>patent</w:t>
      </w:r>
      <w:r>
        <w:rPr>
          <w:rtl w:val="0"/>
          <w:lang w:val="en-US"/>
        </w:rPr>
        <w:t>–</w:t>
      </w:r>
      <w:r>
        <w:rPr>
          <w:rtl w:val="0"/>
          <w:lang w:val="pt-PT"/>
        </w:rPr>
        <w:t>CPC</w:t>
      </w:r>
      <w:r>
        <w:rPr>
          <w:rtl w:val="0"/>
          <w:lang w:val="en-US"/>
        </w:rPr>
        <w:t>–</w:t>
      </w:r>
      <w:r>
        <w:rPr>
          <w:rtl w:val="0"/>
          <w:lang w:val="de-DE"/>
        </w:rPr>
        <w:t>patent</w:t>
      </w:r>
      <w:r>
        <w:rPr>
          <w:rtl w:val="0"/>
          <w:lang w:val="en-US"/>
        </w:rPr>
        <w:t>–</w:t>
      </w:r>
      <w:r>
        <w:rPr>
          <w:rtl w:val="0"/>
          <w:lang w:val="en-US"/>
        </w:rPr>
        <w:t>applicant (capturing technological relatedness). Using these metapaths, node embeddings are learned that reflect higher-order relational patterns in the network, allowing the model to incorporate both structural proximity and technological relationships without relying on manually engineered similarity measures.</w:t>
      </w:r>
    </w:p>
    <w:p>
      <w:pPr>
        <w:pStyle w:val="Default"/>
        <w:suppressAutoHyphens w:val="1"/>
        <w:spacing w:before="0" w:after="120" w:line="240" w:lineRule="auto"/>
        <w:jc w:val="both"/>
      </w:pPr>
      <w:r>
        <w:rPr>
          <w:rtl w:val="0"/>
          <w:lang w:val="en-US"/>
        </w:rPr>
        <w:t>Building on these structural embeddings, the model incorporates temporal dynamics through a Gated Recurrent Unit (GRU). The heterogeneous network is represented as a sequence of time-ordered snapshots, where node embeddings evolve across periods. The GRU processes these sequences to generate temporally-aware representations of organizations, capturing how their collaboration behavior and technological positioning change over time. This temporal component is essential for modeling collaboration formation as a dynamic process rather than a static network phenomenon.</w:t>
      </w:r>
    </w:p>
    <w:p>
      <w:pPr>
        <w:pStyle w:val="Default"/>
        <w:suppressAutoHyphens w:val="1"/>
        <w:spacing w:before="0" w:after="120" w:line="240" w:lineRule="auto"/>
        <w:jc w:val="both"/>
      </w:pPr>
      <w:r>
        <w:rPr>
          <w:rtl w:val="0"/>
          <w:lang w:val="en-US"/>
        </w:rPr>
        <w:t>The final step of the model consists of a link prediction layer, where the probability of collaboration between pairs of applicants is estimated. In line with the theoretical framework of the study, which emphasizes the joint role of technological proximity and complementarity, link prediction is implemented using an interaction-aware approach. Specifically, node embeddings are combined through concatenation and passed to a Multi-Layer Perceptron (MLP), allowing the model to learn complex, nonlinear interaction patterns between organizations. This contrasts with simpler approaches such as the dot product, which primarily capture similarity-based relationships and may therefore fail to account for complementary technological capabilities.</w:t>
      </w:r>
    </w:p>
    <w:p>
      <w:pPr>
        <w:pStyle w:val="Default"/>
        <w:suppressAutoHyphens w:val="1"/>
        <w:spacing w:before="0" w:after="120" w:line="240" w:lineRule="auto"/>
        <w:jc w:val="both"/>
      </w:pPr>
      <w:r>
        <w:rPr>
          <w:rtl w:val="0"/>
          <w:lang w:val="en-US"/>
        </w:rPr>
        <w:t>To systematically evaluate the contribution of each modeling component, the study implements a series of ablation experiments. First, a metapath ablation analysis is conducted to assess the relative importance of different relational pathways in shaping collaboration predictions. By selectively removing specific metapaths, the analysis identifies which types of structural and technological connections contribute most to model performance. Second, the study compares different link prediction strategies, specifically contrasting the MLP-based interaction model with a dot-product-based similarity model. This comparison directly tests the theoretical expectation that collaboration formation is not driven solely by similarity but also by complementary relationships. Third, the model is extended to include an optional attention mechanism, allowing the weighting of temporal or relational information. This extension evaluates whether adaptive weighting improves the model</w:t>
      </w:r>
      <w:r>
        <w:rPr>
          <w:rFonts w:ascii="Arial Unicode MS" w:hAnsi="Arial Unicode MS" w:hint="default"/>
          <w:rtl w:val="0"/>
          <w:lang w:val="en-US"/>
        </w:rPr>
        <w:t>’</w:t>
      </w:r>
      <w:r>
        <w:rPr>
          <w:rtl w:val="0"/>
          <w:lang w:val="en-US"/>
        </w:rPr>
        <w:t>s ability to capture relevant patterns in the data.</w:t>
      </w:r>
    </w:p>
    <w:p>
      <w:pPr>
        <w:pStyle w:val="Default"/>
        <w:suppressAutoHyphens w:val="1"/>
        <w:spacing w:before="0" w:after="120" w:line="240" w:lineRule="auto"/>
        <w:jc w:val="both"/>
      </w:pPr>
      <w:r>
        <w:rPr>
          <w:rtl w:val="0"/>
          <w:lang w:val="en-US"/>
        </w:rPr>
        <w:t>Overall, this modeling strategy integrates heterogeneous network representation, metapath-based structural learning, temporal dynamics, and interaction-aware prediction into a unified framework. By combining these components and evaluating them through targeted ablations, the study provides a comprehensive and theory-informed approach to predicting collaboration formation in complex innovation networks.</w:t>
      </w:r>
    </w:p>
    <w:p>
      <w:pPr>
        <w:pStyle w:val="Default"/>
        <w:suppressAutoHyphens w:val="1"/>
        <w:spacing w:before="0" w:after="120" w:line="240" w:lineRule="auto"/>
        <w:jc w:val="both"/>
      </w:pPr>
    </w:p>
    <w:p>
      <w:pPr>
        <w:pStyle w:val="Default"/>
        <w:suppressAutoHyphens w:val="1"/>
        <w:spacing w:before="0" w:after="120" w:line="240" w:lineRule="auto"/>
        <w:jc w:val="both"/>
        <w:rPr>
          <w:b w:val="1"/>
          <w:bCs w:val="1"/>
        </w:rPr>
      </w:pPr>
      <w:r>
        <w:rPr>
          <w:b w:val="1"/>
          <w:bCs w:val="1"/>
          <w:rtl w:val="0"/>
          <w:lang w:val="en-US"/>
        </w:rPr>
        <w:t>6. Repository Structure and Implementation Plan</w:t>
      </w:r>
    </w:p>
    <w:p>
      <w:pPr>
        <w:pStyle w:val="Default"/>
        <w:suppressAutoHyphens w:val="1"/>
        <w:spacing w:before="0" w:after="120" w:line="240" w:lineRule="auto"/>
        <w:jc w:val="both"/>
      </w:pPr>
      <w:r>
        <w:rPr>
          <w:rtl w:val="0"/>
          <w:lang w:val="en-US"/>
        </w:rPr>
        <w:t>The project will be implemented using a structured repository designed to support reproducibility, modular development, and collaborative work. The repository follows a standard machine learning project structure separating source code, data, and experimental outputs.</w:t>
      </w:r>
    </w:p>
    <w:p>
      <w:pPr>
        <w:pStyle w:val="Default"/>
        <w:suppressAutoHyphens w:val="1"/>
        <w:spacing w:before="0" w:after="120" w:line="240" w:lineRule="auto"/>
        <w:jc w:val="both"/>
      </w:pPr>
      <w:r>
        <w:rPr>
          <w:rtl w:val="0"/>
          <w:lang w:val="en-US"/>
        </w:rPr>
        <w:t>All source code will be contained within a dedicated src directory, which includes modules for data preprocessing, feature construction, model implementation, and training routines. Separating source code from datasets and outputs ensures clarity and facilitates code reuse.</w:t>
      </w:r>
    </w:p>
    <w:p>
      <w:pPr>
        <w:pStyle w:val="Default"/>
        <w:suppressAutoHyphens w:val="1"/>
        <w:spacing w:before="0" w:after="120" w:line="240" w:lineRule="auto"/>
        <w:jc w:val="both"/>
      </w:pPr>
      <w:r>
        <w:rPr>
          <w:rtl w:val="0"/>
          <w:lang w:val="en-US"/>
        </w:rPr>
        <w:t>The repository will also include dedicated folders for storing datasets, trained models, experiment logs, and visualizations generated during the analysis. Configuration parameters and training arguments will be handled through argument parsers to ensure that experiments can be reproduced with consistent settings.</w:t>
      </w:r>
    </w:p>
    <w:p>
      <w:pPr>
        <w:pStyle w:val="Default"/>
        <w:suppressAutoHyphens w:val="1"/>
        <w:spacing w:before="0" w:after="120" w:line="240" w:lineRule="auto"/>
        <w:jc w:val="both"/>
      </w:pPr>
      <w:r>
        <w:rPr>
          <w:rtl w:val="0"/>
          <w:lang w:val="en-US"/>
        </w:rPr>
        <w:t>Version control will follow a branch-based workflow, in which development occurs on a dedicated development branch while the main branch remains stable and executable. New tasks will be implemented in feature branches derived from the development branch and merged after completion.</w:t>
      </w:r>
    </w:p>
    <w:p>
      <w:pPr>
        <w:pStyle w:val="Default"/>
        <w:suppressAutoHyphens w:val="1"/>
        <w:spacing w:before="0" w:after="120" w:line="240" w:lineRule="auto"/>
        <w:jc w:val="both"/>
      </w:pPr>
      <w:r>
        <w:rPr>
          <w:rtl w:val="0"/>
          <w:lang w:val="en-US"/>
        </w:rPr>
        <w:t xml:space="preserve">The general repository structure </w:t>
      </w:r>
      <w:r>
        <w:rPr>
          <w:rtl w:val="0"/>
          <w:lang w:val="es-ES_tradnl"/>
        </w:rPr>
        <w:t>is described in the Readme file</w:t>
      </w:r>
      <w:r>
        <w:rPr>
          <w:rtl w:val="0"/>
          <w:lang w:val="en-US"/>
        </w:rPr>
        <w:t>.</w:t>
      </w:r>
      <w:r>
        <w:rPr>
          <w:rtl w:val="0"/>
          <w:lang w:val="es-ES_tradnl"/>
        </w:rPr>
        <w:t xml:space="preserve"> It</w:t>
      </w:r>
      <w:r>
        <w:rPr>
          <w:rtl w:val="0"/>
          <w:lang w:val="en-US"/>
        </w:rPr>
        <w:t xml:space="preserve"> ensures clear separation between data processing, model development, and experimental outputs while maintaining a modular design suitable for iterative experimentation with different graph neural network architectures.</w:t>
      </w:r>
    </w:p>
    <w:p>
      <w:pPr>
        <w:pStyle w:val="Default"/>
        <w:suppressAutoHyphens w:val="1"/>
        <w:spacing w:before="0" w:after="120" w:line="240" w:lineRule="auto"/>
        <w:jc w:val="both"/>
      </w:pPr>
    </w:p>
    <w:p>
      <w:pPr>
        <w:pStyle w:val="Default"/>
        <w:suppressAutoHyphens w:val="1"/>
        <w:spacing w:before="0" w:after="120" w:line="240" w:lineRule="auto"/>
        <w:jc w:val="both"/>
        <w:rPr>
          <w:b w:val="1"/>
          <w:bCs w:val="1"/>
          <w:lang w:val="es-ES_tradnl"/>
        </w:rPr>
      </w:pPr>
      <w:r>
        <w:rPr>
          <w:b w:val="1"/>
          <w:bCs w:val="1"/>
          <w:rtl w:val="0"/>
          <w:lang w:val="es-ES_tradnl"/>
        </w:rPr>
        <w:t>Baseline Model</w:t>
      </w:r>
    </w:p>
    <w:p>
      <w:pPr>
        <w:pStyle w:val="Default"/>
        <w:suppressAutoHyphens w:val="1"/>
        <w:spacing w:before="0" w:after="120" w:line="240" w:lineRule="auto"/>
        <w:jc w:val="both"/>
      </w:pPr>
      <w:r>
        <w:rPr>
          <w:rtl w:val="0"/>
          <w:lang w:val="en-US"/>
        </w:rPr>
        <w:t>This baseline model operationalizes collaboration prediction as a temporal link prediction problem in which applicants are embedded through a sequence of yearly interaction features and aggregated into latent representations. The use of a GRU reflects the theoretical assumption that innovation networks evolve cumulatively, where past collaborations and capabilities shape future partnerships</w:t>
      </w:r>
      <w:r>
        <w:rPr>
          <w:rtl w:val="0"/>
          <w:lang w:val="en-US"/>
        </w:rPr>
        <w:t>—</w:t>
      </w:r>
      <w:r>
        <w:rPr>
          <w:rtl w:val="0"/>
          <w:lang w:val="en-US"/>
        </w:rPr>
        <w:t>consistent with path dependency and learning dynamics in innovation systems. Instead of relying on a single snapshot, the model encodes temporal trajectories and aggregates them via mean pooling, capturing persistent collaboration signals rather than short-term fluctuations. The interaction-aware MLP further aligns with network theory by explicitly modeling relational proximity and complementarity: concatenating sender and receiver embeddings, their absolute difference (distance), and their element-wise product (synergy) approximates mechanisms such as similarity, structural equivalence, and knowledge complementarity that drive tie formation in collaborative R&amp;D networks.</w:t>
      </w:r>
    </w:p>
    <w:p>
      <w:pPr>
        <w:pStyle w:val="Default"/>
        <w:suppressAutoHyphens w:val="1"/>
        <w:spacing w:before="0" w:after="120" w:line="240" w:lineRule="auto"/>
        <w:jc w:val="both"/>
      </w:pPr>
      <w:r>
        <w:rPr>
          <w:rtl w:val="0"/>
          <w:lang w:val="en-US"/>
        </w:rPr>
        <w:t>The production pipeline uses hidden dimensions of 128 for both the GCN and GRU components, with dropout of 0.2 and a learning rate of 5e-4. Gradient clipping (norm = 1.0) stabilizes GRU training over long temporal sequences, and negative sampling balances the highly skewed link distribution by generating synthetic non-edges equal in size to observed edges.</w:t>
      </w:r>
      <w:r>
        <w:rPr>
          <w:rtl w:val="0"/>
          <w:lang w:val="es-ES_tradnl"/>
        </w:rPr>
        <w:t xml:space="preserve"> </w:t>
      </w:r>
      <w:r>
        <w:rPr>
          <w:rtl w:val="0"/>
          <w:lang w:val="en-US"/>
        </w:rPr>
        <w:t>The baseline achieves an AUC in the range of 0.85</w:t>
      </w:r>
      <w:r>
        <w:rPr>
          <w:rtl w:val="0"/>
          <w:lang w:val="en-US"/>
        </w:rPr>
        <w:t>–</w:t>
      </w:r>
      <w:r>
        <w:rPr>
          <w:rtl w:val="0"/>
          <w:lang w:val="en-US"/>
        </w:rPr>
        <w:t>0.90 and AP in the range of 0.84</w:t>
      </w:r>
      <w:r>
        <w:rPr>
          <w:rtl w:val="0"/>
          <w:lang w:val="en-US"/>
        </w:rPr>
        <w:t>–</w:t>
      </w:r>
      <w:r>
        <w:rPr>
          <w:rtl w:val="0"/>
          <w:lang w:val="en-US"/>
        </w:rPr>
        <w:t>0.88 on the test set, demonstrating that even before ablation-stage refinements, the model captures substantial structural and temporal signal and provides a robust reference point for evaluating architectural choices.</w:t>
      </w:r>
    </w:p>
    <w:p>
      <w:pPr>
        <w:pStyle w:val="Default"/>
        <w:suppressAutoHyphens w:val="1"/>
        <w:spacing w:before="0" w:after="120" w:line="240" w:lineRule="auto"/>
        <w:jc w:val="both"/>
      </w:pPr>
    </w:p>
    <w:p>
      <w:pPr>
        <w:pStyle w:val="Default"/>
        <w:suppressAutoHyphens w:val="1"/>
        <w:spacing w:before="0" w:after="120" w:line="240" w:lineRule="auto"/>
        <w:jc w:val="both"/>
        <w:rPr>
          <w:b w:val="1"/>
          <w:bCs w:val="1"/>
          <w:lang w:val="es-ES_tradnl"/>
        </w:rPr>
      </w:pPr>
      <w:r>
        <w:rPr>
          <w:b w:val="1"/>
          <w:bCs w:val="1"/>
          <w:rtl w:val="0"/>
          <w:lang w:val="es-ES_tradnl"/>
        </w:rPr>
        <w:t>Ablation Study</w:t>
      </w:r>
    </w:p>
    <w:p>
      <w:pPr>
        <w:pStyle w:val="Default"/>
        <w:suppressAutoHyphens w:val="1"/>
        <w:spacing w:before="0" w:after="120" w:line="240" w:lineRule="auto"/>
        <w:jc w:val="both"/>
        <w:rPr>
          <w:lang w:val="en-US"/>
        </w:rPr>
      </w:pPr>
      <w:r>
        <w:rPr>
          <w:rtl w:val="0"/>
          <w:lang w:val="en-US"/>
        </w:rPr>
        <w:t xml:space="preserve">The ablation study evaluates a lighter variant of the architecture </w:t>
      </w:r>
      <w:r>
        <w:rPr>
          <w:rtl w:val="0"/>
          <w:lang w:val="en-US"/>
        </w:rPr>
        <w:t xml:space="preserve">— </w:t>
      </w:r>
      <w:r>
        <w:rPr>
          <w:rtl w:val="0"/>
          <w:lang w:val="en-US"/>
        </w:rPr>
        <w:t xml:space="preserve">a GRU-only temporal model without GCN snapshot encoding, using hidden_dim=64 and trained for up to 100 epochs </w:t>
      </w:r>
      <w:r>
        <w:rPr>
          <w:rtl w:val="0"/>
          <w:lang w:val="en-US"/>
        </w:rPr>
        <w:t xml:space="preserve">— </w:t>
      </w:r>
      <w:r>
        <w:rPr>
          <w:rtl w:val="0"/>
          <w:lang w:val="en-US"/>
        </w:rPr>
        <w:t>to isolate the contribution of three design dimensions: the choice of link predictor (MLP vs. dot product), the use of dynamic temporal attention (attention vs. mean aggregation), and the use of per-metapath attention over the APA, API, and APC embedding slices. Because this variant omits the GCN encoder present in the production model, the results should be interpreted as evidence about the relative contribution of each component rather than as absolute performance benchmarks.</w:t>
      </w:r>
    </w:p>
    <w:p>
      <w:pPr>
        <w:pStyle w:val="Default"/>
        <w:suppressAutoHyphens w:val="1"/>
        <w:spacing w:before="0" w:after="120" w:line="240" w:lineRule="auto"/>
        <w:jc w:val="both"/>
        <w:rPr>
          <w:lang w:val="en-US"/>
        </w:rPr>
      </w:pPr>
      <w:r>
        <w:rPr>
          <w:rtl w:val="0"/>
          <w:lang w:val="en-US"/>
        </w:rPr>
        <w:t xml:space="preserve">The results reveal a dominant and unambiguous pattern: the choice of link predictor is by far the most consequential design decision, producing a performance gap that dwarfs all other comparisons. All MLP configurations achieve final AUC values between 0.737 and 0.770 and AP between 0.707 and 0.738, while all dot-product configurations cluster between 0.549 and 0.561 in AUC and 0.549 and 0.557 in AP. This gap of roughly 0.20 AUC points is not marginal </w:t>
      </w:r>
      <w:r>
        <w:rPr>
          <w:rtl w:val="0"/>
          <w:lang w:val="en-US"/>
        </w:rPr>
        <w:t xml:space="preserve">— </w:t>
      </w:r>
      <w:r>
        <w:rPr>
          <w:rtl w:val="0"/>
          <w:lang w:val="en-US"/>
        </w:rPr>
        <w:t>it indicates that the dot-product decoder, which captures only similarity between embedding vectors, is fundamentally insufficient for this task. The result provides strong empirical support for the theoretical argument that collaboration formation in biotechnology is driven by complementarity and nonlinear interaction effects that a similarity-based decoder cannot represent. Concatenating sender and receiver embeddings with their absolute difference and element-wise product, as the MLP does, is necessary for the model to distinguish likely from unlikely collaborators.</w:t>
      </w:r>
    </w:p>
    <w:p>
      <w:pPr>
        <w:pStyle w:val="Default"/>
        <w:suppressAutoHyphens w:val="1"/>
        <w:spacing w:before="0" w:after="120" w:line="240" w:lineRule="auto"/>
        <w:jc w:val="both"/>
        <w:rPr>
          <w:lang w:val="en-US"/>
        </w:rPr>
      </w:pPr>
      <w:r>
        <w:rPr>
          <w:rtl w:val="0"/>
          <w:lang w:val="en-US"/>
        </w:rPr>
        <w:t>Within the MLP configurations, dynamic temporal attention provides a consistent improvement over mean aggregation. The best-performing configuration overall uses no metapath attention, dynamic temporal attention, and an MLP predictor, achieving a best AUC of 0.776 and best AP of 0.742 at epoch 96, and a final AUC of 0.770 and AP of 0.738. Replacing dynamic attention with mean aggregation reduces final AUC to 0.759 and AP to 0.725, a consistent drop that confirms temporal weighting adds discriminative value. The model learns that not all historical years contribute equally to predicting future collaboration, and that emphasizing more informative time periods improves ranking quality.</w:t>
      </w:r>
    </w:p>
    <w:p>
      <w:pPr>
        <w:pStyle w:val="Default"/>
        <w:suppressAutoHyphens w:val="1"/>
        <w:spacing w:before="0" w:after="120" w:line="240" w:lineRule="auto"/>
        <w:jc w:val="both"/>
        <w:rPr>
          <w:lang w:val="en-US"/>
        </w:rPr>
      </w:pPr>
      <w:r>
        <w:rPr>
          <w:rtl w:val="0"/>
          <w:lang w:val="en-US"/>
        </w:rPr>
        <w:t xml:space="preserve">The role of metapath attention is more nuanced. Introducing per-metapath attention over the APA, API, and APC embedding slices does not improve performance and in fact degrades it within the MLP configurations. Models with metapath attention achieve final AUC values of 0.735 and 0.737, below both non-metapath-attention MLP configurations. This suggests that, in this lighter GRU-only architecture, learning to reweight the three metapath embedding slices adaptively does not help </w:t>
      </w:r>
      <w:r>
        <w:rPr>
          <w:rtl w:val="0"/>
          <w:lang w:val="en-US"/>
        </w:rPr>
        <w:t xml:space="preserve">— </w:t>
      </w:r>
      <w:r>
        <w:rPr>
          <w:rtl w:val="0"/>
          <w:lang w:val="en-US"/>
        </w:rPr>
        <w:t>the uniform concatenation of normalized embeddings already provides a sufficient and stable input representation, and the added parameters introduce optimization complexity without payoff at 100 epochs.</w:t>
      </w:r>
    </w:p>
    <w:p>
      <w:pPr>
        <w:pStyle w:val="Default"/>
        <w:suppressAutoHyphens w:val="1"/>
        <w:spacing w:before="0" w:after="120" w:line="240" w:lineRule="auto"/>
        <w:jc w:val="both"/>
        <w:rPr>
          <w:lang w:val="en-US"/>
        </w:rPr>
      </w:pPr>
      <w:r>
        <w:rPr>
          <w:rtl w:val="0"/>
          <w:lang w:val="en-US"/>
        </w:rPr>
        <w:t>Within the dot-product configurations, differences across attention and metapath settings are negligible, with final AUC values ranging only from 0.549 to 0.561. This near-uniform performance confirms that the architectural variations around temporal aggregation and metapath weighting have no meaningful effect when the decoder lacks the expressiveness to use the resulting representations.</w:t>
      </w:r>
    </w:p>
    <w:p>
      <w:pPr>
        <w:pStyle w:val="Default"/>
        <w:suppressAutoHyphens w:val="1"/>
        <w:spacing w:before="0" w:after="120" w:line="240" w:lineRule="auto"/>
        <w:jc w:val="both"/>
        <w:rPr>
          <w:lang w:val="en-US"/>
        </w:rPr>
      </w:pPr>
      <w:r>
        <w:rPr>
          <w:rtl w:val="0"/>
          <w:lang w:val="en-US"/>
        </w:rPr>
        <w:t>Taken together, the ablation provides a clear ordering of design choices for this task: the predictor architecture matters most, dynamic temporal aggregation matters secondarily, and metapath attention at the input stage does not add value in this setting. These findings directly inform the production model design, which uses an MLP decoder and attention-based temporal aggregation, and motivate the decision not to include per-metapath attention weighting in the main pipeline.</w:t>
      </w:r>
    </w:p>
    <w:p>
      <w:pPr>
        <w:pStyle w:val="Default"/>
        <w:suppressAutoHyphens w:val="1"/>
        <w:spacing w:before="0" w:after="240" w:line="240" w:lineRule="auto"/>
        <w:jc w:val="left"/>
        <w:rPr>
          <w:rFonts w:ascii="Times Roman" w:cs="Times Roman" w:hAnsi="Times Roman" w:eastAsia="Times Roman"/>
        </w:rPr>
      </w:pPr>
    </w:p>
    <w:tbl>
      <w:tblPr>
        <w:tblW w:w="9612" w:type="dxa"/>
        <w:jc w:val="left"/>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000000"/>
        <w:tblLayout w:type="fixed"/>
      </w:tblPr>
      <w:tblGrid>
        <w:gridCol w:w="1924"/>
        <w:gridCol w:w="1458"/>
        <w:gridCol w:w="1338"/>
        <w:gridCol w:w="993"/>
        <w:gridCol w:w="809"/>
        <w:gridCol w:w="1116"/>
        <w:gridCol w:w="1079"/>
        <w:gridCol w:w="895"/>
      </w:tblGrid>
      <w:tr>
        <w:tblPrEx>
          <w:shd w:val="clear" w:color="auto" w:fill="000000"/>
        </w:tblPrEx>
        <w:trPr>
          <w:trHeight w:val="580" w:hRule="atLeast"/>
        </w:trPr>
        <w:tc>
          <w:tcPr>
            <w:tcW w:type="dxa" w:w="19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Metapath Attention</w:t>
            </w:r>
          </w:p>
        </w:tc>
        <w:tc>
          <w:tcPr>
            <w:tcW w:type="dxa" w:w="14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Dynamic Attention</w:t>
            </w:r>
          </w:p>
        </w:tc>
        <w:tc>
          <w:tcPr>
            <w:tcW w:type="dxa" w:w="13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Predictor</w:t>
            </w:r>
          </w:p>
        </w:tc>
        <w:tc>
          <w:tcPr>
            <w:tcW w:type="dxa" w:w="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Best AUC</w:t>
            </w:r>
          </w:p>
        </w:tc>
        <w:tc>
          <w:tcPr>
            <w:tcW w:type="dxa" w:w="8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Best AP</w:t>
            </w:r>
          </w:p>
        </w:tc>
        <w:tc>
          <w:tcPr>
            <w:tcW w:type="dxa" w:w="1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Best Epoch</w:t>
            </w:r>
          </w:p>
        </w:tc>
        <w:tc>
          <w:tcPr>
            <w:tcW w:type="dxa" w:w="10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Final AUC</w:t>
            </w:r>
          </w:p>
        </w:tc>
        <w:tc>
          <w:tcPr>
            <w:tcW w:type="dxa" w:w="8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Final AP</w:t>
            </w:r>
          </w:p>
        </w:tc>
      </w:tr>
      <w:tr>
        <w:tblPrEx>
          <w:shd w:val="clear" w:color="auto" w:fill="000000"/>
        </w:tblPrEx>
        <w:trPr>
          <w:trHeight w:val="409" w:hRule="atLeast"/>
        </w:trPr>
        <w:tc>
          <w:tcPr>
            <w:tcW w:type="dxa" w:w="19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c>
          <w:tcPr>
            <w:tcW w:type="dxa" w:w="14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Yes</w:t>
            </w:r>
          </w:p>
        </w:tc>
        <w:tc>
          <w:tcPr>
            <w:tcW w:type="dxa" w:w="13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MLP</w:t>
            </w:r>
          </w:p>
        </w:tc>
        <w:tc>
          <w:tcPr>
            <w:tcW w:type="dxa" w:w="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0.7759</w:t>
            </w:r>
          </w:p>
        </w:tc>
        <w:tc>
          <w:tcPr>
            <w:tcW w:type="dxa" w:w="8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0.7415</w:t>
            </w:r>
          </w:p>
        </w:tc>
        <w:tc>
          <w:tcPr>
            <w:tcW w:type="dxa" w:w="1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96</w:t>
            </w:r>
          </w:p>
        </w:tc>
        <w:tc>
          <w:tcPr>
            <w:tcW w:type="dxa" w:w="10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0.7696</w:t>
            </w:r>
          </w:p>
        </w:tc>
        <w:tc>
          <w:tcPr>
            <w:tcW w:type="dxa" w:w="8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0.7377</w:t>
            </w:r>
          </w:p>
        </w:tc>
      </w:tr>
      <w:tr>
        <w:tblPrEx>
          <w:shd w:val="clear" w:color="auto" w:fill="000000"/>
        </w:tblPrEx>
        <w:trPr>
          <w:trHeight w:val="409" w:hRule="atLeast"/>
        </w:trPr>
        <w:tc>
          <w:tcPr>
            <w:tcW w:type="dxa" w:w="19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c>
          <w:tcPr>
            <w:tcW w:type="dxa" w:w="14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c>
          <w:tcPr>
            <w:tcW w:type="dxa" w:w="13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MLP</w:t>
            </w:r>
          </w:p>
        </w:tc>
        <w:tc>
          <w:tcPr>
            <w:tcW w:type="dxa" w:w="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0.7667</w:t>
            </w:r>
          </w:p>
        </w:tc>
        <w:tc>
          <w:tcPr>
            <w:tcW w:type="dxa" w:w="8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0.7326</w:t>
            </w:r>
          </w:p>
        </w:tc>
        <w:tc>
          <w:tcPr>
            <w:tcW w:type="dxa" w:w="1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w:t>
            </w:r>
          </w:p>
        </w:tc>
        <w:tc>
          <w:tcPr>
            <w:tcW w:type="dxa" w:w="10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0.7587</w:t>
            </w:r>
          </w:p>
        </w:tc>
        <w:tc>
          <w:tcPr>
            <w:tcW w:type="dxa" w:w="8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0.7255</w:t>
            </w:r>
          </w:p>
        </w:tc>
      </w:tr>
      <w:tr>
        <w:tblPrEx>
          <w:shd w:val="clear" w:color="auto" w:fill="000000"/>
        </w:tblPrEx>
        <w:trPr>
          <w:trHeight w:val="409" w:hRule="atLeast"/>
        </w:trPr>
        <w:tc>
          <w:tcPr>
            <w:tcW w:type="dxa" w:w="19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Yes</w:t>
            </w:r>
          </w:p>
        </w:tc>
        <w:tc>
          <w:tcPr>
            <w:tcW w:type="dxa" w:w="14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c>
          <w:tcPr>
            <w:tcW w:type="dxa" w:w="13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MLP</w:t>
            </w:r>
          </w:p>
        </w:tc>
        <w:tc>
          <w:tcPr>
            <w:tcW w:type="dxa" w:w="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0.7432</w:t>
            </w:r>
          </w:p>
        </w:tc>
        <w:tc>
          <w:tcPr>
            <w:tcW w:type="dxa" w:w="8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0.7138</w:t>
            </w:r>
          </w:p>
        </w:tc>
        <w:tc>
          <w:tcPr>
            <w:tcW w:type="dxa" w:w="1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w:t>
            </w:r>
          </w:p>
        </w:tc>
        <w:tc>
          <w:tcPr>
            <w:tcW w:type="dxa" w:w="10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0.7372</w:t>
            </w:r>
          </w:p>
        </w:tc>
        <w:tc>
          <w:tcPr>
            <w:tcW w:type="dxa" w:w="8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0.7089</w:t>
            </w:r>
          </w:p>
        </w:tc>
      </w:tr>
      <w:tr>
        <w:tblPrEx>
          <w:shd w:val="clear" w:color="auto" w:fill="000000"/>
        </w:tblPrEx>
        <w:trPr>
          <w:trHeight w:val="409" w:hRule="atLeast"/>
        </w:trPr>
        <w:tc>
          <w:tcPr>
            <w:tcW w:type="dxa" w:w="19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Yes</w:t>
            </w:r>
          </w:p>
        </w:tc>
        <w:tc>
          <w:tcPr>
            <w:tcW w:type="dxa" w:w="14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Yes</w:t>
            </w:r>
          </w:p>
        </w:tc>
        <w:tc>
          <w:tcPr>
            <w:tcW w:type="dxa" w:w="13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MLP</w:t>
            </w:r>
          </w:p>
        </w:tc>
        <w:tc>
          <w:tcPr>
            <w:tcW w:type="dxa" w:w="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0.7401</w:t>
            </w:r>
          </w:p>
        </w:tc>
        <w:tc>
          <w:tcPr>
            <w:tcW w:type="dxa" w:w="8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0.7131</w:t>
            </w:r>
          </w:p>
        </w:tc>
        <w:tc>
          <w:tcPr>
            <w:tcW w:type="dxa" w:w="1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w:t>
            </w:r>
          </w:p>
        </w:tc>
        <w:tc>
          <w:tcPr>
            <w:tcW w:type="dxa" w:w="10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0.7349</w:t>
            </w:r>
          </w:p>
        </w:tc>
        <w:tc>
          <w:tcPr>
            <w:tcW w:type="dxa" w:w="8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0.7071</w:t>
            </w:r>
          </w:p>
        </w:tc>
      </w:tr>
      <w:tr>
        <w:tblPrEx>
          <w:shd w:val="clear" w:color="auto" w:fill="000000"/>
        </w:tblPrEx>
        <w:trPr>
          <w:trHeight w:val="409" w:hRule="atLeast"/>
        </w:trPr>
        <w:tc>
          <w:tcPr>
            <w:tcW w:type="dxa" w:w="19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Yes</w:t>
            </w:r>
          </w:p>
        </w:tc>
        <w:tc>
          <w:tcPr>
            <w:tcW w:type="dxa" w:w="14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c>
          <w:tcPr>
            <w:tcW w:type="dxa" w:w="13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Dot</w:t>
            </w:r>
          </w:p>
        </w:tc>
        <w:tc>
          <w:tcPr>
            <w:tcW w:type="dxa" w:w="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0.5648</w:t>
            </w:r>
          </w:p>
        </w:tc>
        <w:tc>
          <w:tcPr>
            <w:tcW w:type="dxa" w:w="8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0.5578</w:t>
            </w:r>
          </w:p>
        </w:tc>
        <w:tc>
          <w:tcPr>
            <w:tcW w:type="dxa" w:w="1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w:t>
            </w:r>
          </w:p>
        </w:tc>
        <w:tc>
          <w:tcPr>
            <w:tcW w:type="dxa" w:w="10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0.5610</w:t>
            </w:r>
          </w:p>
        </w:tc>
        <w:tc>
          <w:tcPr>
            <w:tcW w:type="dxa" w:w="8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0.5568</w:t>
            </w:r>
          </w:p>
        </w:tc>
      </w:tr>
      <w:tr>
        <w:tblPrEx>
          <w:shd w:val="clear" w:color="auto" w:fill="000000"/>
        </w:tblPrEx>
        <w:trPr>
          <w:trHeight w:val="409" w:hRule="atLeast"/>
        </w:trPr>
        <w:tc>
          <w:tcPr>
            <w:tcW w:type="dxa" w:w="19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Yes</w:t>
            </w:r>
          </w:p>
        </w:tc>
        <w:tc>
          <w:tcPr>
            <w:tcW w:type="dxa" w:w="14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Yes</w:t>
            </w:r>
          </w:p>
        </w:tc>
        <w:tc>
          <w:tcPr>
            <w:tcW w:type="dxa" w:w="13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Dot</w:t>
            </w:r>
          </w:p>
        </w:tc>
        <w:tc>
          <w:tcPr>
            <w:tcW w:type="dxa" w:w="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0.5626</w:t>
            </w:r>
          </w:p>
        </w:tc>
        <w:tc>
          <w:tcPr>
            <w:tcW w:type="dxa" w:w="8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0.5549</w:t>
            </w:r>
          </w:p>
        </w:tc>
        <w:tc>
          <w:tcPr>
            <w:tcW w:type="dxa" w:w="1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w:t>
            </w:r>
          </w:p>
        </w:tc>
        <w:tc>
          <w:tcPr>
            <w:tcW w:type="dxa" w:w="10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0.5588</w:t>
            </w:r>
          </w:p>
        </w:tc>
        <w:tc>
          <w:tcPr>
            <w:tcW w:type="dxa" w:w="8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0.5539</w:t>
            </w:r>
          </w:p>
        </w:tc>
      </w:tr>
      <w:tr>
        <w:tblPrEx>
          <w:shd w:val="clear" w:color="auto" w:fill="000000"/>
        </w:tblPrEx>
        <w:trPr>
          <w:trHeight w:val="409" w:hRule="atLeast"/>
        </w:trPr>
        <w:tc>
          <w:tcPr>
            <w:tcW w:type="dxa" w:w="19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c>
          <w:tcPr>
            <w:tcW w:type="dxa" w:w="14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c>
          <w:tcPr>
            <w:tcW w:type="dxa" w:w="13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Dot</w:t>
            </w:r>
          </w:p>
        </w:tc>
        <w:tc>
          <w:tcPr>
            <w:tcW w:type="dxa" w:w="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0.5620</w:t>
            </w:r>
          </w:p>
        </w:tc>
        <w:tc>
          <w:tcPr>
            <w:tcW w:type="dxa" w:w="8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0.5617</w:t>
            </w:r>
          </w:p>
        </w:tc>
        <w:tc>
          <w:tcPr>
            <w:tcW w:type="dxa" w:w="1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55</w:t>
            </w:r>
          </w:p>
        </w:tc>
        <w:tc>
          <w:tcPr>
            <w:tcW w:type="dxa" w:w="10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0.5509</w:t>
            </w:r>
          </w:p>
        </w:tc>
        <w:tc>
          <w:tcPr>
            <w:tcW w:type="dxa" w:w="8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0.5489</w:t>
            </w:r>
          </w:p>
        </w:tc>
      </w:tr>
      <w:tr>
        <w:tblPrEx>
          <w:shd w:val="clear" w:color="auto" w:fill="000000"/>
        </w:tblPrEx>
        <w:trPr>
          <w:trHeight w:val="409" w:hRule="atLeast"/>
        </w:trPr>
        <w:tc>
          <w:tcPr>
            <w:tcW w:type="dxa" w:w="19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c>
          <w:tcPr>
            <w:tcW w:type="dxa" w:w="14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Yes</w:t>
            </w:r>
          </w:p>
        </w:tc>
        <w:tc>
          <w:tcPr>
            <w:tcW w:type="dxa" w:w="13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Dot</w:t>
            </w:r>
          </w:p>
        </w:tc>
        <w:tc>
          <w:tcPr>
            <w:tcW w:type="dxa" w:w="9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0.5624</w:t>
            </w:r>
          </w:p>
        </w:tc>
        <w:tc>
          <w:tcPr>
            <w:tcW w:type="dxa" w:w="8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0.5639</w:t>
            </w:r>
          </w:p>
        </w:tc>
        <w:tc>
          <w:tcPr>
            <w:tcW w:type="dxa" w:w="1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55</w:t>
            </w:r>
          </w:p>
        </w:tc>
        <w:tc>
          <w:tcPr>
            <w:tcW w:type="dxa" w:w="10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0.5492</w:t>
            </w:r>
          </w:p>
        </w:tc>
        <w:tc>
          <w:tcPr>
            <w:tcW w:type="dxa" w:w="8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0.5519</w:t>
            </w:r>
          </w:p>
        </w:tc>
      </w:tr>
    </w:tbl>
    <w:p>
      <w:pPr>
        <w:pStyle w:val="Default"/>
        <w:suppressAutoHyphens w:val="1"/>
        <w:spacing w:before="0" w:after="240" w:line="240" w:lineRule="auto"/>
        <w:jc w:val="left"/>
        <w:rPr>
          <w:rFonts w:ascii="Times Roman" w:cs="Times Roman" w:hAnsi="Times Roman" w:eastAsia="Times Roman"/>
          <w:i w:val="1"/>
          <w:iCs w:val="1"/>
        </w:rPr>
      </w:pPr>
    </w:p>
    <w:p>
      <w:pPr>
        <w:pStyle w:val="Default"/>
        <w:suppressAutoHyphens w:val="1"/>
        <w:spacing w:before="0" w:after="240" w:line="240" w:lineRule="auto"/>
        <w:jc w:val="left"/>
        <w:rPr>
          <w:rFonts w:ascii="Times Roman" w:cs="Times Roman" w:hAnsi="Times Roman" w:eastAsia="Times Roman"/>
          <w:i w:val="0"/>
          <w:iCs w:val="0"/>
        </w:rPr>
      </w:pPr>
      <w:r>
        <w:rPr>
          <w:rFonts w:ascii="Times Roman" w:hAnsi="Times Roman"/>
          <w:i w:val="1"/>
          <w:iCs w:val="1"/>
          <w:rtl w:val="0"/>
          <w:lang w:val="en-US"/>
        </w:rPr>
        <w:t>Table 1. Ablation results across predictor type, dynamic temporal attention, and metapath attention configurations. All models use hidden_dim=64, dropout=0.3, and are trained for up to 100 epochs. Rows are ordered by final AUC descending within each predictor group.</w:t>
      </w:r>
    </w:p>
    <w:p>
      <w:pPr>
        <w:pStyle w:val="Default"/>
        <w:suppressAutoHyphens w:val="1"/>
        <w:spacing w:before="0" w:after="120" w:line="240" w:lineRule="auto"/>
        <w:jc w:val="both"/>
        <w:rPr>
          <w:b w:val="0"/>
          <w:bCs w:val="0"/>
        </w:rPr>
      </w:pPr>
      <w:r>
        <w:rPr>
          <w:b w:val="1"/>
          <w:bCs w:val="1"/>
          <w:rtl w:val="0"/>
          <w:lang w:val="en-US"/>
        </w:rPr>
        <w:t>Dashboard and Model Outputs</w:t>
      </w:r>
    </w:p>
    <w:p>
      <w:pPr>
        <w:pStyle w:val="Default"/>
        <w:suppressAutoHyphens w:val="1"/>
        <w:spacing w:before="0" w:after="120" w:line="240" w:lineRule="auto"/>
        <w:jc w:val="both"/>
      </w:pPr>
      <w:r>
        <w:rPr>
          <w:rtl w:val="0"/>
          <w:lang w:val="en-US"/>
        </w:rPr>
        <w:t>The interactive dashboard operationalises the model's predictions by allowing inspection of individual organisations' predicted collaboration neighbourhoods within the learned embedding space. The UMAP projection of final applicant embeddings provides a spatial representation of the collaboration landscape, where proximity reflects learned structural and temporal similarity. Cluster membership, derived from KMeans applied to the final embeddings, offers a coarser partition of the network into technologically and relationally coherent communities.</w:t>
      </w:r>
    </w:p>
    <w:p>
      <w:pPr>
        <w:pStyle w:val="Default"/>
        <w:suppressAutoHyphens w:val="1"/>
        <w:spacing w:before="0" w:after="120" w:line="240" w:lineRule="auto"/>
        <w:jc w:val="both"/>
      </w:pPr>
      <w:r>
        <w:rPr>
          <w:rtl w:val="0"/>
          <w:lang w:val="en-US"/>
        </w:rPr>
        <w:t xml:space="preserve">The ego-network view distinguishes between three categories of predicted links </w:t>
      </w:r>
      <w:r>
        <w:rPr>
          <w:rtl w:val="0"/>
          <w:lang w:val="en-US"/>
        </w:rPr>
        <w:t xml:space="preserve">— </w:t>
      </w:r>
      <w:r>
        <w:rPr>
          <w:rtl w:val="0"/>
          <w:lang w:val="en-US"/>
        </w:rPr>
        <w:t xml:space="preserve">historical ties observed during training, ties observed in the held-out test year, and novel predicted ties </w:t>
      </w:r>
      <w:r>
        <w:rPr>
          <w:rtl w:val="0"/>
          <w:lang w:val="en-US"/>
        </w:rPr>
        <w:t xml:space="preserve">— </w:t>
      </w:r>
      <w:r>
        <w:rPr>
          <w:rtl w:val="0"/>
          <w:lang w:val="en-US"/>
        </w:rPr>
        <w:t>enabling a qualitative assessment of whether the model recovers known relationships and whether its novel predictions are structurally plausible. Cluster cohesion (the mean cosine similarity within a cluster) and cluster diversity across predicted links together provide a structural characterisation of whether a given organisation's predicted partnerships are concentrated within its technological community or reach across distinct clusters, which directly maps onto the proximity-complementarity trade-off discussed in the problem definition. Training curves for loss, AUC, and AP over epochs serve as diagnostics for optimisation stability and generalisation.</w:t>
      </w:r>
    </w:p>
    <w:p>
      <w:pPr>
        <w:pStyle w:val="Default"/>
        <w:suppressAutoHyphens w:val="1"/>
        <w:spacing w:before="0" w:after="120" w:line="240" w:lineRule="auto"/>
        <w:jc w:val="center"/>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spacing w:before="0" w:after="120" w:line="240" w:lineRule="auto"/>
        <w:jc w:val="center"/>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spacing w:before="0" w:after="120" w:line="240" w:lineRule="auto"/>
        <w:jc w:val="center"/>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spacing w:before="0" w:after="120" w:line="240" w:lineRule="auto"/>
        <w:jc w:val="center"/>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spacing w:before="0" w:after="120" w:line="240" w:lineRule="auto"/>
        <w:jc w:val="center"/>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spacing w:before="0" w:after="12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pPr>
      <w:r>
        <w:rPr>
          <w:rFonts w:ascii="Arial Unicode MS" w:cs="Arial Unicode MS" w:hAnsi="Arial Unicode MS" w:eastAsia="Arial Unicode MS"/>
          <w:b w:val="0"/>
          <w:bCs w:val="0"/>
          <w:i w:val="0"/>
          <w:iCs w:val="0"/>
        </w:rPr>
        <w:br w:type="page"/>
      </w:r>
    </w:p>
    <w:p>
      <w:pPr>
        <w:pStyle w:val="Default"/>
        <w:suppressAutoHyphens w:val="1"/>
        <w:spacing w:before="0" w:after="120" w:line="240" w:lineRule="auto"/>
        <w:jc w:val="both"/>
        <w:rPr>
          <w:b w:val="1"/>
          <w:bCs w:val="1"/>
          <w:lang w:val="fr-FR"/>
        </w:rPr>
      </w:pPr>
      <w:r>
        <w:rPr>
          <w:b w:val="1"/>
          <w:bCs w:val="1"/>
          <w:rtl w:val="0"/>
          <w:lang w:val="fr-FR"/>
        </w:rPr>
        <w:t>References</w:t>
      </w:r>
    </w:p>
    <w:p>
      <w:pPr>
        <w:pStyle w:val="Default"/>
        <w:suppressAutoHyphens w:val="1"/>
        <w:spacing w:before="0" w:after="120" w:line="240" w:lineRule="auto"/>
        <w:jc w:val="both"/>
      </w:pPr>
      <w:r>
        <w:rPr>
          <w:rtl w:val="0"/>
          <w:lang w:val="en-US"/>
        </w:rPr>
        <w:t>Acosta, M., Coronado, D., &amp; Medina, J. (2023). Effects of co-patenting across national boundaries on patent quality: An exploration in pharmaceuticals. Economics of Innovation and New Technology, 33(2), 248</w:t>
      </w:r>
      <w:r>
        <w:rPr>
          <w:rtl w:val="0"/>
          <w:lang w:val="en-US"/>
        </w:rPr>
        <w:t>–</w:t>
      </w:r>
      <w:r>
        <w:rPr>
          <w:rtl w:val="0"/>
          <w:lang w:val="en-US"/>
        </w:rPr>
        <w:t>281.</w:t>
      </w:r>
    </w:p>
    <w:p>
      <w:pPr>
        <w:pStyle w:val="Default"/>
        <w:suppressAutoHyphens w:val="1"/>
        <w:spacing w:before="0" w:after="120" w:line="240" w:lineRule="auto"/>
        <w:jc w:val="both"/>
      </w:pPr>
      <w:r>
        <w:rPr>
          <w:rtl w:val="0"/>
          <w:lang w:val="en-US"/>
        </w:rPr>
        <w:t>Dong, Y., Chawla, N. V., &amp; Swami, A. (2017). metapath2vec: Scalable representation learning for heterogeneous networks. Proceedings of the 23rd ACM SIGKDD International Conference on Knowledge Discovery and Data Mining.</w:t>
      </w:r>
    </w:p>
    <w:p>
      <w:pPr>
        <w:pStyle w:val="Default"/>
        <w:suppressAutoHyphens w:val="1"/>
        <w:spacing w:before="0" w:after="120" w:line="240" w:lineRule="auto"/>
        <w:jc w:val="both"/>
      </w:pPr>
      <w:r>
        <w:rPr>
          <w:rtl w:val="0"/>
          <w:lang w:val="en-US"/>
        </w:rPr>
        <w:t>Dyer, J. H., &amp; Singh, H. (1998). The relational view: Cooperative strategy and sources of interorganizational competitive advantage. Academy of Management Review, 23(4), 660</w:t>
      </w:r>
      <w:r>
        <w:rPr>
          <w:rtl w:val="0"/>
          <w:lang w:val="en-US"/>
        </w:rPr>
        <w:t>–</w:t>
      </w:r>
      <w:r>
        <w:rPr>
          <w:rtl w:val="0"/>
          <w:lang w:val="en-US"/>
        </w:rPr>
        <w:t>679.</w:t>
      </w:r>
    </w:p>
    <w:p>
      <w:pPr>
        <w:pStyle w:val="Default"/>
        <w:suppressAutoHyphens w:val="1"/>
        <w:spacing w:before="0" w:after="120" w:line="240" w:lineRule="auto"/>
        <w:jc w:val="both"/>
      </w:pPr>
      <w:r>
        <w:rPr>
          <w:rtl w:val="0"/>
          <w:lang w:val="en-US"/>
        </w:rPr>
        <w:t>European Federation of Pharmaceutical Industries and Associations. (2025). A competitiveness strategy for European life sciences.</w:t>
      </w:r>
    </w:p>
    <w:p>
      <w:pPr>
        <w:pStyle w:val="Default"/>
        <w:suppressAutoHyphens w:val="1"/>
        <w:spacing w:before="0" w:after="120" w:line="240" w:lineRule="auto"/>
        <w:jc w:val="both"/>
      </w:pPr>
      <w:r>
        <w:rPr>
          <w:rtl w:val="0"/>
          <w:lang w:val="en-US"/>
        </w:rPr>
        <w:t>Gassmann, O., Schuhmacher, A., von Zedtwitz, M., et al. (2018). Leading pharmaceutical innovation (3rd ed.). Springer.</w:t>
      </w:r>
    </w:p>
    <w:p>
      <w:pPr>
        <w:pStyle w:val="Default"/>
        <w:suppressAutoHyphens w:val="1"/>
        <w:spacing w:before="0" w:after="120" w:line="240" w:lineRule="auto"/>
        <w:jc w:val="both"/>
      </w:pPr>
      <w:r>
        <w:rPr>
          <w:rtl w:val="0"/>
          <w:lang w:val="en-US"/>
        </w:rPr>
        <w:t>Gilsing, V., Nooteboom, B., Van Haverbeke, W., Duysters, G., &amp; Van den Oord, A. (2008). Network embeddedness and the exploration of novel technologies: Technological distance, betweenness centrality and density. Research Policy, 37(10), 1717</w:t>
      </w:r>
      <w:r>
        <w:rPr>
          <w:rtl w:val="0"/>
          <w:lang w:val="en-US"/>
        </w:rPr>
        <w:t>–</w:t>
      </w:r>
      <w:r>
        <w:rPr>
          <w:rtl w:val="0"/>
          <w:lang w:val="en-US"/>
        </w:rPr>
        <w:t>1731.</w:t>
      </w:r>
    </w:p>
    <w:p>
      <w:pPr>
        <w:pStyle w:val="Default"/>
        <w:suppressAutoHyphens w:val="1"/>
        <w:spacing w:before="0" w:after="120" w:line="240" w:lineRule="auto"/>
        <w:jc w:val="both"/>
      </w:pPr>
      <w:r>
        <w:rPr>
          <w:rtl w:val="0"/>
          <w:lang w:val="en-US"/>
        </w:rPr>
        <w:t>de Groote, J. K., Schell, S., Kammerlander, N., &amp; Hack, A. (2023). The role of similarity and complementarity in the selection of potential partners for open innovation projects in family firms. Small Business Economics, 60, 1347</w:t>
      </w:r>
      <w:r>
        <w:rPr>
          <w:rtl w:val="0"/>
          <w:lang w:val="en-US"/>
        </w:rPr>
        <w:t>–</w:t>
      </w:r>
      <w:r>
        <w:rPr>
          <w:rtl w:val="0"/>
          <w:lang w:val="en-US"/>
        </w:rPr>
        <w:t xml:space="preserve">1367. </w:t>
      </w:r>
      <w:r>
        <w:rPr>
          <w:rStyle w:val="Hyperlink.0"/>
        </w:rPr>
        <w:fldChar w:fldCharType="begin" w:fldLock="0"/>
      </w:r>
      <w:r>
        <w:rPr>
          <w:rStyle w:val="Hyperlink.0"/>
        </w:rPr>
        <w:instrText xml:space="preserve"> HYPERLINK "https://doi.org/10.1007/s11187-022-00666-x"</w:instrText>
      </w:r>
      <w:r>
        <w:rPr>
          <w:rStyle w:val="Hyperlink.0"/>
        </w:rPr>
        <w:fldChar w:fldCharType="separate" w:fldLock="0"/>
      </w:r>
      <w:r>
        <w:rPr>
          <w:rStyle w:val="Hyperlink.0"/>
          <w:rtl w:val="0"/>
          <w:lang w:val="en-US"/>
        </w:rPr>
        <w:t>https://doi.org/10.1007/s11187-022-00666-x</w:t>
      </w:r>
      <w:r>
        <w:rPr/>
        <w:fldChar w:fldCharType="end" w:fldLock="0"/>
      </w:r>
    </w:p>
    <w:p>
      <w:pPr>
        <w:pStyle w:val="Default"/>
        <w:suppressAutoHyphens w:val="1"/>
        <w:spacing w:before="0" w:after="120" w:line="240" w:lineRule="auto"/>
        <w:jc w:val="both"/>
      </w:pPr>
      <w:r>
        <w:rPr>
          <w:rStyle w:val="None"/>
          <w:rtl w:val="0"/>
          <w:lang w:val="en-US"/>
        </w:rPr>
        <w:t>Grover, A., &amp; Leskovec, J. (2016). Node2Vec: Scalable feature learning for networks. Proceedings of the 22nd ACM SIGKDD International Conference on Knowledge Discovery and Data Mining, 855</w:t>
      </w:r>
      <w:r>
        <w:rPr>
          <w:rStyle w:val="None"/>
          <w:rtl w:val="0"/>
          <w:lang w:val="en-US"/>
        </w:rPr>
        <w:t>–</w:t>
      </w:r>
      <w:r>
        <w:rPr>
          <w:rStyle w:val="None"/>
          <w:rtl w:val="0"/>
          <w:lang w:val="en-US"/>
        </w:rPr>
        <w:t>864.</w:t>
      </w:r>
    </w:p>
    <w:p>
      <w:pPr>
        <w:pStyle w:val="Default"/>
        <w:suppressAutoHyphens w:val="1"/>
        <w:spacing w:before="0" w:after="120" w:line="240" w:lineRule="auto"/>
        <w:jc w:val="both"/>
      </w:pPr>
      <w:r>
        <w:rPr>
          <w:rStyle w:val="None"/>
          <w:rtl w:val="0"/>
          <w:lang w:val="en-US"/>
        </w:rPr>
        <w:t>Kipf, T. N., &amp; Welling, M. (2017). Semi-supervised classification with graph convolutional networks. International Conference on Learning Representations (ICLR).</w:t>
      </w:r>
    </w:p>
    <w:p>
      <w:pPr>
        <w:pStyle w:val="Default"/>
        <w:suppressAutoHyphens w:val="1"/>
        <w:spacing w:before="0" w:after="120" w:line="240" w:lineRule="auto"/>
        <w:jc w:val="both"/>
      </w:pPr>
      <w:r>
        <w:rPr>
          <w:rStyle w:val="None"/>
          <w:rtl w:val="0"/>
          <w:lang w:val="en-US"/>
        </w:rPr>
        <w:t>OECD. (2013). Regions and innovation. OECD Publishing.</w:t>
      </w:r>
    </w:p>
    <w:p>
      <w:pPr>
        <w:pStyle w:val="Default"/>
        <w:suppressAutoHyphens w:val="1"/>
        <w:spacing w:before="0" w:after="120" w:line="240" w:lineRule="auto"/>
        <w:jc w:val="both"/>
      </w:pPr>
      <w:r>
        <w:rPr>
          <w:rStyle w:val="None"/>
          <w:rtl w:val="0"/>
          <w:lang w:val="en-US"/>
        </w:rPr>
        <w:t xml:space="preserve">Li, M., &amp; Xie, X. (2026). Identifying scientific collaboration opportunities based on heterogeneous hypergraph link prediction. Journal of King Saud University </w:t>
      </w:r>
      <w:r>
        <w:rPr>
          <w:rStyle w:val="None"/>
          <w:rtl w:val="0"/>
          <w:lang w:val="en-US"/>
        </w:rPr>
        <w:t xml:space="preserve">– </w:t>
      </w:r>
      <w:r>
        <w:rPr>
          <w:rStyle w:val="None"/>
          <w:rtl w:val="0"/>
          <w:lang w:val="en-US"/>
        </w:rPr>
        <w:t>Computer and Information Sciences, 38, 82. https://doi.org/10.1007/s44443-026-00474-3</w:t>
      </w:r>
    </w:p>
    <w:p>
      <w:pPr>
        <w:pStyle w:val="Default"/>
        <w:suppressAutoHyphens w:val="1"/>
        <w:spacing w:before="0" w:after="120" w:line="240" w:lineRule="auto"/>
        <w:jc w:val="both"/>
      </w:pPr>
      <w:r>
        <w:rPr>
          <w:rStyle w:val="None"/>
          <w:rtl w:val="0"/>
          <w:lang w:val="en-US"/>
        </w:rPr>
        <w:t>Powell, W. W., Koput, K. W., &amp; Smith-Doerr, L. (1996). Interorganizational collaboration and the locus of innovation: Networks of learning in biotechnology. Administrative Science Quarterly, 41(1), 116</w:t>
      </w:r>
      <w:r>
        <w:rPr>
          <w:rStyle w:val="None"/>
          <w:rtl w:val="0"/>
          <w:lang w:val="en-US"/>
        </w:rPr>
        <w:t>–</w:t>
      </w:r>
      <w:r>
        <w:rPr>
          <w:rStyle w:val="None"/>
          <w:rtl w:val="0"/>
          <w:lang w:val="en-US"/>
        </w:rPr>
        <w:t>145.</w:t>
      </w:r>
    </w:p>
    <w:p>
      <w:pPr>
        <w:pStyle w:val="Default"/>
        <w:suppressAutoHyphens w:val="1"/>
        <w:spacing w:before="0" w:after="120" w:line="240" w:lineRule="auto"/>
        <w:jc w:val="both"/>
      </w:pPr>
      <w:r>
        <w:rPr>
          <w:rStyle w:val="None"/>
          <w:rtl w:val="0"/>
          <w:lang w:val="en-US"/>
        </w:rPr>
        <w:t>Prato, G., &amp; Nepelski, D. (2012). Global technological collaboration network: Network structure and its determinants. Journal of Technology Transfer, 39(3), 358</w:t>
      </w:r>
      <w:r>
        <w:rPr>
          <w:rStyle w:val="None"/>
          <w:rtl w:val="0"/>
          <w:lang w:val="en-US"/>
        </w:rPr>
        <w:t>–</w:t>
      </w:r>
      <w:r>
        <w:rPr>
          <w:rStyle w:val="None"/>
          <w:rtl w:val="0"/>
          <w:lang w:val="en-US"/>
        </w:rPr>
        <w:t xml:space="preserve">375. </w:t>
      </w:r>
      <w:r>
        <w:rPr>
          <w:rStyle w:val="Hyperlink.0"/>
        </w:rPr>
        <w:fldChar w:fldCharType="begin" w:fldLock="0"/>
      </w:r>
      <w:r>
        <w:rPr>
          <w:rStyle w:val="Hyperlink.0"/>
        </w:rPr>
        <w:instrText xml:space="preserve"> HYPERLINK "https://doi.org/10.1007/s10961-012-9264-1"</w:instrText>
      </w:r>
      <w:r>
        <w:rPr>
          <w:rStyle w:val="Hyperlink.0"/>
        </w:rPr>
        <w:fldChar w:fldCharType="separate" w:fldLock="0"/>
      </w:r>
      <w:r>
        <w:rPr>
          <w:rStyle w:val="Hyperlink.0"/>
          <w:rtl w:val="0"/>
          <w:lang w:val="en-US"/>
        </w:rPr>
        <w:t>https://doi.org/10.1007/s10961-012-9264-1</w:t>
      </w:r>
      <w:r>
        <w:rPr/>
        <w:fldChar w:fldCharType="end" w:fldLock="0"/>
      </w:r>
    </w:p>
    <w:p>
      <w:pPr>
        <w:pStyle w:val="Default"/>
        <w:suppressAutoHyphens w:val="1"/>
        <w:spacing w:before="0" w:after="120" w:line="240" w:lineRule="auto"/>
        <w:jc w:val="both"/>
      </w:pPr>
      <w:r>
        <w:rPr>
          <w:rStyle w:val="None"/>
          <w:rtl w:val="0"/>
          <w:lang w:val="en-US"/>
        </w:rPr>
        <w:t>Rozemberczki, B., Scherer, P., He, Y., Panagopoulos, G., Astefanoaei, M., Kiss, O., Beres, F., Collignon, N., &amp; Sarkar, R. (2021). PyTorch Geometric Temporal: Spatiotemporal signal processing with neural machine learning models. In Proceedings of the 30th ACM International Conference on Information and Knowledge Management (CIKM).</w:t>
      </w:r>
    </w:p>
    <w:p>
      <w:pPr>
        <w:pStyle w:val="Default"/>
        <w:suppressAutoHyphens w:val="1"/>
        <w:spacing w:before="0" w:after="120" w:line="240" w:lineRule="auto"/>
        <w:jc w:val="both"/>
      </w:pPr>
      <w:r>
        <w:rPr>
          <w:rStyle w:val="None"/>
          <w:rtl w:val="0"/>
          <w:lang w:val="en-US"/>
        </w:rPr>
        <w:t>van Rijnsoever, F. J., van den Berg, J., Koch, J., &amp; Hekkert, M. P. (2015). Smart innovation policy: How network position and project composition affect the diversity of an emerging technology. Research Policy, 44(9), 1675</w:t>
      </w:r>
      <w:r>
        <w:rPr>
          <w:rStyle w:val="None"/>
          <w:rtl w:val="0"/>
          <w:lang w:val="en-US"/>
        </w:rPr>
        <w:t>–</w:t>
      </w:r>
      <w:r>
        <w:rPr>
          <w:rStyle w:val="None"/>
          <w:rtl w:val="0"/>
          <w:lang w:val="en-US"/>
        </w:rPr>
        <w:t>1688.</w:t>
      </w:r>
    </w:p>
    <w:p>
      <w:pPr>
        <w:pStyle w:val="Default"/>
        <w:suppressAutoHyphens w:val="1"/>
        <w:spacing w:before="0" w:after="120" w:line="240" w:lineRule="auto"/>
        <w:jc w:val="both"/>
      </w:pPr>
      <w:r>
        <w:rPr>
          <w:rStyle w:val="None"/>
          <w:rtl w:val="0"/>
          <w:lang w:val="en-US"/>
        </w:rPr>
        <w:t>Veli</w:t>
      </w:r>
      <w:r>
        <w:rPr>
          <w:rStyle w:val="None"/>
          <w:rtl w:val="0"/>
          <w:lang w:val="en-US"/>
        </w:rPr>
        <w:t>č</w:t>
      </w:r>
      <w:r>
        <w:rPr>
          <w:rStyle w:val="None"/>
          <w:rtl w:val="0"/>
          <w:lang w:val="en-US"/>
        </w:rPr>
        <w:t>kovi</w:t>
      </w:r>
      <w:r>
        <w:rPr>
          <w:rStyle w:val="None"/>
          <w:rtl w:val="0"/>
          <w:lang w:val="en-US"/>
        </w:rPr>
        <w:t>ć</w:t>
      </w:r>
      <w:r>
        <w:rPr>
          <w:rStyle w:val="None"/>
          <w:rtl w:val="0"/>
          <w:lang w:val="es-ES_tradnl"/>
        </w:rPr>
        <w:t>, P., Cucurull, G., Casanova, A., Romero, A., Li</w:t>
      </w:r>
      <w:r>
        <w:rPr>
          <w:rStyle w:val="None"/>
          <w:rtl w:val="0"/>
          <w:lang w:val="en-US"/>
        </w:rPr>
        <w:t>ò</w:t>
      </w:r>
      <w:r>
        <w:rPr>
          <w:rStyle w:val="None"/>
          <w:rtl w:val="0"/>
          <w:lang w:val="en-US"/>
        </w:rPr>
        <w:t>, P., &amp; Bengio, Y. (2018). Graph attention networks. International Conference on Learning Representations (ICLR).</w:t>
      </w:r>
    </w:p>
    <w:p>
      <w:pPr>
        <w:pStyle w:val="Default"/>
        <w:suppressAutoHyphens w:val="1"/>
        <w:spacing w:before="0" w:after="120" w:line="240" w:lineRule="auto"/>
        <w:jc w:val="both"/>
      </w:pPr>
      <w:r>
        <w:rPr>
          <w:rStyle w:val="None"/>
          <w:rtl w:val="0"/>
          <w:lang w:val="en-US"/>
        </w:rPr>
        <w:t>World Intellectual Property Organization. (2025). A primer on technology transfer in the field of biotechnology: Cross-border collaborations.</w:t>
      </w:r>
    </w:p>
    <w:p>
      <w:pPr>
        <w:pStyle w:val="Default"/>
        <w:suppressAutoHyphens w:val="1"/>
        <w:spacing w:before="0" w:after="120" w:line="240" w:lineRule="auto"/>
        <w:jc w:val="both"/>
      </w:pPr>
      <w:r>
        <w:rPr>
          <w:rStyle w:val="None"/>
          <w:rtl w:val="0"/>
          <w:lang w:val="en-US"/>
        </w:rPr>
        <w:t>Zhao, L., Song, Y., Zhang, C., Liu, Y., Wang, P., Lin, T., Deng, M., &amp; Li, H. (2018). T-GCN: A temporal graph convolutional network for traffic prediction. IEEE Transactions on Intelligent Transportation Systems.</w:t>
      </w:r>
    </w:p>
    <w:p>
      <w:pPr>
        <w:pStyle w:val="Default"/>
        <w:suppressAutoHyphens w:val="1"/>
        <w:spacing w:before="0" w:after="120" w:line="240" w:lineRule="auto"/>
        <w:jc w:val="both"/>
      </w:pPr>
    </w:p>
    <w:p>
      <w:pPr>
        <w:pStyle w:val="Default"/>
        <w:suppressAutoHyphens w:val="1"/>
        <w:spacing w:before="0" w:after="120" w:line="240" w:lineRule="auto"/>
        <w:jc w:val="both"/>
      </w:pPr>
    </w:p>
    <w:p>
      <w:pPr>
        <w:pStyle w:val="Default"/>
        <w:suppressAutoHyphens w:val="1"/>
        <w:spacing w:before="0" w:after="120" w:line="240" w:lineRule="auto"/>
        <w:jc w:val="both"/>
      </w:pPr>
      <w:r>
        <w:rPr>
          <w:rStyle w:val="None"/>
          <w:rFonts w:ascii="Arial Unicode MS" w:cs="Arial Unicode MS" w:hAnsi="Arial Unicode MS" w:eastAsia="Arial Unicode MS"/>
          <w:b w:val="0"/>
          <w:bCs w:val="0"/>
          <w:i w:val="0"/>
          <w:iCs w:val="0"/>
        </w:rPr>
        <w:br w:type="column"/>
      </w:r>
    </w:p>
    <w:p>
      <w:pPr>
        <w:pStyle w:val="Default"/>
        <w:suppressAutoHyphens w:val="1"/>
        <w:spacing w:before="0" w:after="120" w:line="240" w:lineRule="auto"/>
        <w:jc w:val="both"/>
      </w:pPr>
    </w:p>
    <w:p>
      <w:pPr>
        <w:pStyle w:val="Default"/>
        <w:suppressAutoHyphens w:val="1"/>
        <w:spacing w:before="0" w:after="120" w:line="240" w:lineRule="auto"/>
        <w:jc w:val="both"/>
        <w:rPr>
          <w:lang w:val="it-IT"/>
        </w:rPr>
      </w:pPr>
      <w:r>
        <w:rPr>
          <w:rStyle w:val="None"/>
          <w:rtl w:val="0"/>
          <w:lang w:val="it-IT"/>
        </w:rPr>
        <w:t>Appendices</w:t>
      </w:r>
    </w:p>
    <w:p>
      <w:pPr>
        <w:pStyle w:val="Default"/>
        <w:suppressAutoHyphens w:val="1"/>
        <w:spacing w:before="0" w:after="120" w:line="240" w:lineRule="auto"/>
        <w:jc w:val="both"/>
      </w:pPr>
    </w:p>
    <w:p>
      <w:pPr>
        <w:pStyle w:val="Default"/>
        <w:suppressAutoHyphens w:val="1"/>
        <w:spacing w:before="0" w:after="120" w:line="240" w:lineRule="auto"/>
        <w:jc w:val="both"/>
      </w:pPr>
      <w:r>
        <w:rPr>
          <w:rStyle w:val="None"/>
          <w:rtl w:val="0"/>
          <w:lang w:val="en-US"/>
        </w:rPr>
        <w:t>Appendix 1: Query used to collect the data in lens.org</w:t>
      </w:r>
    </w:p>
    <w:p>
      <w:pPr>
        <w:pStyle w:val="Default"/>
        <w:suppressAutoHyphens w:val="1"/>
        <w:spacing w:before="0" w:after="120" w:line="240" w:lineRule="auto"/>
        <w:jc w:val="both"/>
        <w:rPr>
          <w:lang w:val="de-DE"/>
        </w:rPr>
      </w:pPr>
      <w:r>
        <w:rPr>
          <w:rStyle w:val="None"/>
          <w:rtl w:val="0"/>
          <w:lang w:val="de-DE"/>
        </w:rPr>
        <w:t>applicant.residence:(AT OR BE OR BG OR HR OR CY OR CZ OR DK OR EE OR FI OR FR OR DE OR GR OR HU OR IE OR IT OR LV OR LT OR LU OR MT OR NL OR PL OR PT OR RO OR SK OR SI OR ES OR SE)</w:t>
      </w:r>
    </w:p>
    <w:p>
      <w:pPr>
        <w:pStyle w:val="Default"/>
        <w:suppressAutoHyphens w:val="1"/>
        <w:spacing w:before="0" w:after="120" w:line="240" w:lineRule="auto"/>
        <w:jc w:val="both"/>
      </w:pPr>
      <w:r>
        <w:rPr>
          <w:rStyle w:val="None"/>
          <w:rtl w:val="0"/>
          <w:lang w:val="en-US"/>
        </w:rPr>
        <w:t>AND title:(cancer OR tumor OR tumour OR oncology OR neoplasm)</w:t>
      </w:r>
    </w:p>
    <w:p>
      <w:pPr>
        <w:pStyle w:val="Default"/>
        <w:suppressAutoHyphens w:val="1"/>
        <w:spacing w:before="0" w:after="120" w:line="240" w:lineRule="auto"/>
        <w:jc w:val="both"/>
      </w:pPr>
      <w:r>
        <w:rPr>
          <w:rStyle w:val="None"/>
          <w:rtl w:val="0"/>
          <w:lang w:val="en-US"/>
        </w:rPr>
        <w:t>OR abstract:(cancer OR tumor OR tumour OR oncology OR neoplasm)</w:t>
      </w:r>
    </w:p>
    <w:p>
      <w:pPr>
        <w:pStyle w:val="Default"/>
        <w:suppressAutoHyphens w:val="1"/>
        <w:spacing w:before="0" w:after="120" w:line="240" w:lineRule="auto"/>
        <w:jc w:val="both"/>
      </w:pPr>
      <w:r>
        <w:rPr>
          <w:rStyle w:val="None"/>
          <w:rtl w:val="0"/>
          <w:lang w:val="en-US"/>
        </w:rPr>
        <w:t>OR claim:(cancer OR tumor OR tumour OR oncology OR neoplasm) AND class_cpc.symbol:(C12N15\/*)</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