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indice-general"/>
      <w:bookmarkEnd w:id="21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Parte teórica</w:t>
        </w:r>
      </w:hyperlink>
    </w:p>
    <w:p>
      <w:pPr>
        <w:pStyle w:val="Compact"/>
        <w:numPr>
          <w:numId w:val="1002"/>
          <w:ilvl w:val="1"/>
        </w:numPr>
      </w:pPr>
      <w:r>
        <w:t xml:space="preserve">Que es</w:t>
      </w:r>
      <w:r>
        <w:br w:type="textWrapping"/>
      </w:r>
      <w:r>
        <w:rPr>
          <w:i/>
        </w:rPr>
        <w:t xml:space="preserve">Patologías relacionadas</w:t>
      </w:r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">
        <w:r>
          <w:rPr>
            <w:rStyle w:val="Hyperlink"/>
          </w:rPr>
          <w:t xml:space="preserve">Factores de riesgo</w:t>
        </w:r>
      </w:hyperlink>
    </w:p>
    <w:p>
      <w:pPr>
        <w:pStyle w:val="Compact"/>
        <w:numPr>
          <w:numId w:val="1004"/>
          <w:ilvl w:val="3"/>
        </w:numPr>
      </w:pPr>
      <w:hyperlink w:anchor="Circunferencia-grande-de-cintura">
        <w:r>
          <w:rPr>
            <w:rStyle w:val="Hyperlink"/>
          </w:rPr>
          <w:t xml:space="preserve">Circunferencia grande de cintura</w:t>
        </w:r>
      </w:hyperlink>
    </w:p>
    <w:p>
      <w:pPr>
        <w:pStyle w:val="Compact"/>
        <w:numPr>
          <w:numId w:val="1004"/>
          <w:ilvl w:val="3"/>
        </w:numPr>
      </w:pPr>
      <w:hyperlink w:anchor="Colesterol-bueno-o-de-lipoproteínas-de-alta-densidad-reducido">
        <w:r>
          <w:rPr>
            <w:rStyle w:val="Hyperlink"/>
          </w:rPr>
          <w:t xml:space="preserve">Colesterol bueno o de lipoproteínas de alta densidad reducido</w:t>
        </w:r>
      </w:hyperlink>
    </w:p>
    <w:p>
      <w:pPr>
        <w:pStyle w:val="Compact"/>
        <w:numPr>
          <w:numId w:val="1004"/>
          <w:ilvl w:val="3"/>
        </w:numPr>
      </w:pPr>
      <w:hyperlink w:anchor="Glucosa-sanguínea-en-ayunas-elevada">
        <w:r>
          <w:rPr>
            <w:rStyle w:val="Hyperlink"/>
          </w:rPr>
          <w:t xml:space="preserve">Glucosa sanguínea en ayunas elevada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Hipertensión arterial</w:t>
        </w:r>
      </w:hyperlink>
    </w:p>
    <w:p>
      <w:pPr>
        <w:pStyle w:val="Compact"/>
        <w:numPr>
          <w:numId w:val="1004"/>
          <w:ilvl w:val="3"/>
        </w:numPr>
      </w:pPr>
      <w:hyperlink w:anchor="Niveles-elevados-de-triglicéridos">
        <w:r>
          <w:rPr>
            <w:rStyle w:val="Hyperlink"/>
          </w:rPr>
          <w:t xml:space="preserve">Niveles elevados de triglicéridos</w:t>
        </w:r>
      </w:hyperlink>
    </w:p>
    <w:p>
      <w:pPr>
        <w:pStyle w:val="Compact"/>
        <w:numPr>
          <w:numId w:val="1003"/>
          <w:ilvl w:val="2"/>
        </w:numPr>
      </w:pPr>
      <w:r>
        <w:t xml:space="preserve">Por grupos de población</w:t>
      </w:r>
    </w:p>
    <w:p>
      <w:pPr>
        <w:pStyle w:val="Compact"/>
        <w:numPr>
          <w:numId w:val="1005"/>
          <w:ilvl w:val="3"/>
        </w:numPr>
      </w:pPr>
      <w:r>
        <w:t xml:space="preserve">SM en el hombre</w:t>
      </w:r>
    </w:p>
    <w:p>
      <w:pPr>
        <w:pStyle w:val="Compact"/>
        <w:numPr>
          <w:numId w:val="1005"/>
          <w:ilvl w:val="3"/>
        </w:numPr>
      </w:pPr>
      <w:r>
        <w:t xml:space="preserve">SM en la mujer</w:t>
      </w:r>
      <w:r>
        <w:br w:type="textWrapping"/>
      </w:r>
      <w:r>
        <w:rPr>
          <w:i/>
        </w:rPr>
        <w:t xml:space="preserve">Menopausia</w:t>
      </w:r>
      <w:r>
        <w:br w:type="textWrapping"/>
      </w:r>
      <w:r>
        <w:rPr>
          <w:i/>
        </w:rPr>
        <w:t xml:space="preserve">Embarazo</w:t>
      </w:r>
    </w:p>
    <w:p>
      <w:pPr>
        <w:pStyle w:val="Compact"/>
        <w:numPr>
          <w:numId w:val="1005"/>
          <w:ilvl w:val="3"/>
        </w:numPr>
      </w:pPr>
      <w:r>
        <w:t xml:space="preserve">SM en la infancia</w:t>
      </w:r>
    </w:p>
    <w:p>
      <w:pPr>
        <w:pStyle w:val="Compact"/>
        <w:numPr>
          <w:numId w:val="1005"/>
          <w:ilvl w:val="3"/>
        </w:numPr>
      </w:pPr>
      <w:r>
        <w:t xml:space="preserve">SM en la tercera edad</w:t>
      </w:r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Tratamiento y prevención</w:t>
        </w:r>
      </w:hyperlink>
    </w:p>
    <w:p>
      <w:pPr>
        <w:pStyle w:val="Compact"/>
        <w:numPr>
          <w:numId w:val="1006"/>
          <w:ilvl w:val="2"/>
        </w:numPr>
      </w:pPr>
      <w:r>
        <w:t xml:space="preserve">Alimentación y estilo de vida como estrategia para la prevención del SM</w:t>
      </w:r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Relación con la 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Bibliografía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51b5a6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8bcea7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2022-01-25T21:42:42Z</dcterms:created>
  <dcterms:modified xsi:type="dcterms:W3CDTF">2022-01-25T21:42:42Z</dcterms:modified>
</cp:coreProperties>
</file>