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r>
        <w:t xml:space="preserve">SM en la mujer</w:t>
      </w:r>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r>
        <w:t xml:space="preserve">SM en la tercera edad</w:t>
      </w:r>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Existen una serie diagnósticos que pueden ser identificados como</w:t>
      </w:r>
      <w:r>
        <w:t xml:space="preserve"> </w:t>
      </w:r>
      <w:r>
        <w:t xml:space="preserve">síntomas tempranos de SM, com opueden ser el síndrome de ovario</w:t>
      </w:r>
      <w:r>
        <w:t xml:space="preserve"> </w:t>
      </w:r>
      <w:r>
        <w:t xml:space="preserve">poliquístico, la disfunción sexual femenina, hipertensión en el embarazo</w:t>
      </w:r>
      <w:r>
        <w:t xml:space="preserve"> </w:t>
      </w:r>
      <w:r>
        <w:t xml:space="preserve">o la diabetes gestacional.</w:t>
      </w:r>
    </w:p>
    <w:p>
      <w:pPr>
        <w:pStyle w:val="BodyText"/>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BodyText"/>
      </w:pPr>
      <w:r>
        <w:rPr>
          <w:b/>
        </w:rPr>
        <w:t xml:space="preserve">Diagnóstico diabetes gestacional</w:t>
      </w:r>
    </w:p>
    <w:p>
      <w:pPr>
        <w:pStyle w:val="BodyText"/>
      </w:pPr>
      <w:r>
        <w:t xml:space="preserve">El Comité de expertos de la Organización Mundial de la Salud (OMS)</w:t>
      </w:r>
      <w:r>
        <w:t xml:space="preserve"> </w:t>
      </w:r>
      <w:r>
        <w:t xml:space="preserve">recomienda el</w:t>
      </w:r>
      <w:r>
        <w:t xml:space="preserve"> </w:t>
      </w:r>
      <w:r>
        <w:rPr>
          <w:b/>
        </w:rPr>
        <w:t xml:space="preserve">diagnóstico de DG a través de una prueba basada en una</w:t>
      </w:r>
      <w:r>
        <w:rPr>
          <w:b/>
        </w:rPr>
        <w:t xml:space="preserve"> </w:t>
      </w:r>
      <w:r>
        <w:rPr>
          <w:b/>
        </w:rPr>
        <w:t xml:space="preserve">sobrecarga glucosada similar a la utilizada en adultos fuera del</w:t>
      </w:r>
      <w:r>
        <w:rPr>
          <w:b/>
        </w:rPr>
        <w:t xml:space="preserve"> </w:t>
      </w:r>
      <w:r>
        <w:rPr>
          <w:b/>
        </w:rPr>
        <w:t xml:space="preserve">embarazo</w:t>
      </w:r>
      <w:r>
        <w:t xml:space="preserve">.</w:t>
      </w:r>
    </w:p>
    <w:p>
      <w:pPr>
        <w:pStyle w:val="BodyText"/>
      </w:pPr>
      <w:r>
        <w:t xml:space="preserve">Después de tres días de una dieta libre con una ingesta mayor de 150 g</w:t>
      </w:r>
      <w:r>
        <w:t xml:space="preserve"> </w:t>
      </w:r>
      <w:r>
        <w:t xml:space="preserve">de glucosa diaria, se toma una muestra en ayunas y se administra 75 g de</w:t>
      </w:r>
      <w:r>
        <w:t xml:space="preserve"> </w:t>
      </w:r>
      <w:r>
        <w:t xml:space="preserve">glucosa oral para luego tomar una muestra de sangre dos horas después.</w:t>
      </w:r>
      <w:r>
        <w:br w:type="textWrapping"/>
      </w:r>
      <w:r>
        <w:t xml:space="preserve">- La respuesta normal a las dos horas debe ser menor de 140 mg/dL - si</w:t>
      </w:r>
      <w:r>
        <w:t xml:space="preserve"> </w:t>
      </w:r>
      <w:r>
        <w:t xml:space="preserve">la glicemia se encuentra entre 140 mg/dL y 199 mg/dL, existe una</w:t>
      </w:r>
      <w:r>
        <w:t xml:space="preserve"> </w:t>
      </w:r>
      <w:r>
        <w:t xml:space="preserve">intolerancia de la glucosa en la gestación (IGG) - si la glucosa excede</w:t>
      </w:r>
      <w:r>
        <w:t xml:space="preserve"> </w:t>
      </w:r>
      <w:r>
        <w:t xml:space="preserve">los 200 mg/dL la prueba es diagnóstica de DG</w:t>
      </w:r>
    </w:p>
    <w:p>
      <w:pPr>
        <w:pStyle w:val="Heading4"/>
      </w:pPr>
      <w:bookmarkStart w:id="40" w:name="complicaciones-materno-fetales"/>
      <w:bookmarkEnd w:id="40"/>
      <w:r>
        <w:t xml:space="preserve">Complicaciones materno-fetales</w:t>
      </w:r>
    </w:p>
    <w:p>
      <w:pPr>
        <w:pStyle w:val="FirstParagraph"/>
      </w:pPr>
      <w:hyperlink w:anchor="6">
        <w:r>
          <w:rPr>
            <w:rStyle w:val="Hyperlink"/>
          </w:rPr>
          <w:t xml:space="preserve">6</w:t>
        </w:r>
      </w:hyperlink>
    </w:p>
    <w:p>
      <w:pPr>
        <w:pStyle w:val="BodyText"/>
      </w:pPr>
      <w:r>
        <w:t xml:space="preserve">Se ha encontrado relación entre el desarrollo de DG durante el embarazo</w:t>
      </w:r>
      <w:r>
        <w:t xml:space="preserve"> </w:t>
      </w:r>
      <w:r>
        <w:t xml:space="preserve">con el diagnóstico de SM previo al embarazado. Tanto la diabetes de la</w:t>
      </w:r>
      <w:r>
        <w:t xml:space="preserve"> </w:t>
      </w:r>
      <w:r>
        <w:t xml:space="preserve">DG como los trastornos hipertensivos del embarazo pueden verse como</w:t>
      </w:r>
      <w:r>
        <w:t xml:space="preserve"> </w:t>
      </w:r>
      <w:r>
        <w:t xml:space="preserve">expresiones del SM durante la gestación.</w:t>
      </w:r>
    </w:p>
    <w:p>
      <w:pPr>
        <w:pStyle w:val="BodyText"/>
      </w:pPr>
      <w:r>
        <w:t xml:space="preserve">Las mujeres jóvenes adultas la hiperglicemia anterior al embarazo</w:t>
      </w:r>
      <w:r>
        <w:t xml:space="preserve"> </w:t>
      </w:r>
      <w:r>
        <w:t xml:space="preserve">conjuntamente con la obesidad anticipan el diagnostico de SM.</w:t>
      </w:r>
    </w:p>
    <w:p>
      <w:pPr>
        <w:pStyle w:val="BodyText"/>
      </w:pPr>
      <w:r>
        <w:t xml:space="preserve">Otros indicadores de riesgo para desarrollar SM durante los primeros</w:t>
      </w:r>
      <w:r>
        <w:t xml:space="preserve"> </w:t>
      </w:r>
      <w:r>
        <w:t xml:space="preserve">meses del embarazo son: la edad (ya que la prevalencia de SM aumenta con</w:t>
      </w:r>
      <w:r>
        <w:t xml:space="preserve"> </w:t>
      </w:r>
      <w:r>
        <w:t xml:space="preserve">ella), antecedentes familiares de obesidad, antecedentes de trastornos</w:t>
      </w:r>
      <w:r>
        <w:t xml:space="preserve"> </w:t>
      </w:r>
      <w:r>
        <w:t xml:space="preserve">hipertensivos del embarazo, la macrosomía fetal, diabetes gestacional y</w:t>
      </w:r>
      <w:r>
        <w:t xml:space="preserve"> </w:t>
      </w:r>
      <w:r>
        <w:t xml:space="preserve">desprendimiento prematura de la placenta. Y también el tenerantecedentes</w:t>
      </w:r>
      <w:r>
        <w:t xml:space="preserve"> </w:t>
      </w:r>
      <w:r>
        <w:t xml:space="preserve">médicos de hipertensión arterial o diabetes mellitus.</w:t>
      </w:r>
    </w:p>
    <w:p>
      <w:pPr>
        <w:pStyle w:val="Heading5"/>
      </w:pPr>
      <w:bookmarkStart w:id="41" w:name="consecuencias-a-largo-plazo-para-la-mujer"/>
      <w:bookmarkEnd w:id="41"/>
      <w:r>
        <w:t xml:space="preserve">Consecuencias a largo plazo para la mujer</w:t>
      </w:r>
    </w:p>
    <w:p>
      <w:pPr>
        <w:pStyle w:val="FirstParagraph"/>
      </w:pPr>
      <w:r>
        <w:t xml:space="preserve">El SM en embarazadas es un indicador de predisposición a desarrollar</w:t>
      </w:r>
      <w:r>
        <w:t xml:space="preserve"> </w:t>
      </w:r>
      <w:r>
        <w:t xml:space="preserve">enfermedades cardiovasculare y diabetes tipo 2.</w:t>
      </w:r>
    </w:p>
    <w:p>
      <w:pPr>
        <w:pStyle w:val="BodyText"/>
      </w:pPr>
      <w:r>
        <w:t xml:space="preserve">Tener trastornos THE durante el embarazo es indicativo de riesgo para la</w:t>
      </w:r>
      <w:r>
        <w:t xml:space="preserve"> </w:t>
      </w:r>
      <w:r>
        <w:t xml:space="preserve">mujer de sufrir diversas patologías en el futuro, como obesidad,</w:t>
      </w:r>
      <w:r>
        <w:t xml:space="preserve"> </w:t>
      </w:r>
      <w:r>
        <w:t xml:space="preserve">hipertensión, menor HDL, aumento de glucemia en ayunas o</w:t>
      </w:r>
      <w:r>
        <w:t xml:space="preserve"> </w:t>
      </w:r>
      <w:r>
        <w:t xml:space="preserve">hiperinsulinemia.</w:t>
      </w:r>
    </w:p>
    <w:p>
      <w:pPr>
        <w:pStyle w:val="Heading5"/>
      </w:pPr>
      <w:bookmarkStart w:id="42" w:name="consecuencias-para-el-feto"/>
      <w:bookmarkEnd w:id="42"/>
      <w:r>
        <w:t xml:space="preserve">Consecuencias para el feto</w:t>
      </w:r>
    </w:p>
    <w:p>
      <w:pPr>
        <w:pStyle w:val="FirstParagraph"/>
      </w:pPr>
      <w:r>
        <w:t xml:space="preserve">Complicaciones en los recién nacidos relacionadas con SM de las madres</w:t>
      </w:r>
      <w:r>
        <w:t xml:space="preserve"> </w:t>
      </w:r>
      <w:r>
        <w:t xml:space="preserve">pueden ser: hipoglicemia, bajo peso al nacer o sepsis.</w:t>
      </w:r>
    </w:p>
    <w:p>
      <w:pPr>
        <w:pStyle w:val="BodyText"/>
      </w:pPr>
      <w:r>
        <w:t xml:space="preserve">Tanto la DG como la diabetes tipo 2 se relacionan con varias</w:t>
      </w:r>
      <w:r>
        <w:t xml:space="preserve"> </w:t>
      </w:r>
      <w:r>
        <w:t xml:space="preserve">consencuencias negativas para el feto, como pueden ser muerte prematura,</w:t>
      </w:r>
      <w:r>
        <w:t xml:space="preserve"> </w:t>
      </w:r>
      <w:r>
        <w:t xml:space="preserve">macrosomía, hipoglicemia y trauma neonatal. Los fetos macrosómicos y</w:t>
      </w:r>
      <w:r>
        <w:t xml:space="preserve"> </w:t>
      </w:r>
      <w:r>
        <w:t xml:space="preserve">recién nacidos de madres obesas tienen mayor riesgo de presentar SM en</w:t>
      </w:r>
      <w:r>
        <w:t xml:space="preserve"> </w:t>
      </w:r>
      <w:r>
        <w:t xml:space="preserve">el futuro. Y los hijos de mujeres con diabetes tipo 1 tienen</w:t>
      </w:r>
      <w:r>
        <w:t xml:space="preserve"> </w:t>
      </w:r>
      <w:r>
        <w:t xml:space="preserve">predisposición al desarrollo de enfermedades cardiovasculares durante la</w:t>
      </w:r>
      <w:r>
        <w:t xml:space="preserve"> </w:t>
      </w:r>
      <w:r>
        <w:t xml:space="preserve">infancia.</w:t>
      </w:r>
    </w:p>
    <w:p>
      <w:pPr>
        <w:pStyle w:val="Heading5"/>
      </w:pPr>
      <w:bookmarkStart w:id="43" w:name="prevención"/>
      <w:bookmarkEnd w:id="43"/>
      <w:r>
        <w:t xml:space="preserve">Prevención</w:t>
      </w:r>
    </w:p>
    <w:p>
      <w:pPr>
        <w:pStyle w:val="BlockText"/>
      </w:pPr>
      <w:r>
        <w:t xml:space="preserve">Si este síndrome es detectado precozmente, pueden realizarse cambios</w:t>
      </w:r>
      <w:r>
        <w:t xml:space="preserve"> </w:t>
      </w:r>
      <w:r>
        <w:t xml:space="preserve">significativos en la conducta médica durante el embarazo desde su</w:t>
      </w:r>
      <w:r>
        <w:t xml:space="preserve"> </w:t>
      </w:r>
      <w:r>
        <w:t xml:space="preserve">inicio, para prevenir las complicaciones maternas y fetales asociadas,</w:t>
      </w:r>
      <w:r>
        <w:t xml:space="preserve"> </w:t>
      </w:r>
      <w:r>
        <w:t xml:space="preserve">de esta manera contribuiría como una herramienta diagnóstica útil para</w:t>
      </w:r>
      <w:r>
        <w:t xml:space="preserve"> </w:t>
      </w:r>
      <w:r>
        <w:t xml:space="preserve">su aplicación en todas aquellas gestantes que acudan a su control</w:t>
      </w:r>
      <w:r>
        <w:t xml:space="preserve"> </w:t>
      </w:r>
      <w:r>
        <w:t xml:space="preserve">prenatal e incluso en la consulta preconcepcional, para hacer</w:t>
      </w:r>
      <w:r>
        <w:t xml:space="preserve"> </w:t>
      </w:r>
      <w:r>
        <w:t xml:space="preserve">diagnóstico de rutina y así recomendarles que deben tratarse.</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4" w:name="menopausia"/>
      <w:bookmarkEnd w:id="44"/>
      <w:r>
        <w:t xml:space="preserve">Menopausia</w:t>
      </w:r>
    </w:p>
    <w:p>
      <w:pPr>
        <w:pStyle w:val="Heading3"/>
      </w:pPr>
      <w:bookmarkStart w:id="45" w:name="sm-en-la-tercera-edad-4"/>
      <w:bookmarkEnd w:id="45"/>
      <w:r>
        <w:t xml:space="preserve">SM en la tercera edad</w:t>
      </w:r>
      <w:r>
        <w:t xml:space="preserve"> </w:t>
      </w:r>
      <w:hyperlink w:anchor="4">
        <w:r>
          <w:rPr>
            <w:rStyle w:val="Hyperlink"/>
          </w:rPr>
          <w:t xml:space="preserve">4</w:t>
        </w:r>
      </w:hyperlink>
    </w:p>
    <w:p>
      <w:pPr>
        <w:pStyle w:val="FirstParagraph"/>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6" w:name="por-grupos-de-población"/>
      <w:bookmarkEnd w:id="46"/>
      <w:r>
        <w:t xml:space="preserve">Por grupos de población</w:t>
      </w:r>
    </w:p>
    <w:p>
      <w:pPr>
        <w:pStyle w:val="Heading2"/>
      </w:pPr>
      <w:bookmarkStart w:id="47" w:name="tratamiento-y-prevención"/>
      <w:bookmarkEnd w:id="47"/>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8" w:name="relación-con-la-alimentación"/>
      <w:bookmarkEnd w:id="48"/>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9" w:name="hábitos-de-vida"/>
      <w:bookmarkEnd w:id="49"/>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50" w:name="material-y-métodos"/>
      <w:bookmarkEnd w:id="50"/>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51" w:name="resultados"/>
      <w:bookmarkEnd w:id="51"/>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52" w:name="discusión"/>
      <w:bookmarkEnd w:id="52"/>
      <w:r>
        <w:t xml:space="preserve">Discusión</w:t>
      </w:r>
    </w:p>
    <w:p>
      <w:pPr>
        <w:pStyle w:val="FirstParagraph"/>
      </w:pPr>
    </w:p>
    <w:p>
      <w:pPr>
        <w:pStyle w:val="Heading1"/>
      </w:pPr>
      <w:bookmarkStart w:id="53" w:name="conclusión"/>
      <w:bookmarkEnd w:id="53"/>
      <w:r>
        <w:t xml:space="preserve">Conclusión</w:t>
      </w:r>
    </w:p>
    <w:p>
      <w:pPr>
        <w:pStyle w:val="FirstParagraph"/>
      </w:pPr>
    </w:p>
    <w:p>
      <w:pPr>
        <w:pStyle w:val="Heading1"/>
      </w:pPr>
      <w:bookmarkStart w:id="54" w:name="bibliografía"/>
      <w:bookmarkEnd w:id="54"/>
      <w:r>
        <w:t xml:space="preserve">Bibliografía</w:t>
      </w:r>
    </w:p>
    <w:p>
      <w:pPr>
        <w:pStyle w:val="FirstParagraph"/>
      </w:pPr>
      <w:r>
        <w:rPr>
          <w:b/>
        </w:rPr>
        <w:t xml:space="preserve">Introducción</w:t>
      </w:r>
    </w:p>
    <w:p>
      <w:pPr>
        <w:pStyle w:val="Heading5"/>
      </w:pPr>
      <w:bookmarkStart w:id="55" w:name="section"/>
      <w:bookmarkEnd w:id="55"/>
      <w:r>
        <w:t xml:space="preserve">1</w:t>
      </w:r>
    </w:p>
    <w:p>
      <w:pPr>
        <w:pStyle w:val="FirstParagraph"/>
      </w:pPr>
      <w:hyperlink r:id="rId56">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7" w:name="section-1"/>
      <w:bookmarkEnd w:id="57"/>
      <w:r>
        <w:t xml:space="preserve">2</w:t>
      </w:r>
    </w:p>
    <w:p>
      <w:pPr>
        <w:pStyle w:val="FirstParagraph"/>
      </w:pPr>
      <w:hyperlink r:id="rId58">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9" w:name="section-2"/>
      <w:bookmarkEnd w:id="59"/>
      <w:r>
        <w:t xml:space="preserve">3</w:t>
      </w:r>
    </w:p>
    <w:p>
      <w:pPr>
        <w:pStyle w:val="FirstParagraph"/>
      </w:pPr>
      <w:hyperlink r:id="rId60">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61" w:name="section-3"/>
      <w:bookmarkEnd w:id="61"/>
      <w:r>
        <w:t xml:space="preserve">4</w:t>
      </w:r>
    </w:p>
    <w:p>
      <w:pPr>
        <w:pStyle w:val="FirstParagraph"/>
      </w:pPr>
      <w:hyperlink r:id="rId62">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3" w:name="section-4"/>
      <w:bookmarkEnd w:id="63"/>
      <w:r>
        <w:t xml:space="preserve">5</w:t>
      </w:r>
    </w:p>
    <w:p>
      <w:pPr>
        <w:pStyle w:val="FirstParagraph"/>
      </w:pPr>
      <w:hyperlink r:id="rId64">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5" w:name="section-5"/>
      <w:bookmarkEnd w:id="65"/>
      <w:r>
        <w:t xml:space="preserve">6</w:t>
      </w:r>
    </w:p>
    <w:p>
      <w:pPr>
        <w:pStyle w:val="FirstParagraph"/>
      </w:pPr>
      <w:hyperlink r:id="rId66">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7">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8">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9">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70">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71">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72">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3">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4">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5">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6">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7">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8">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9">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80">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81">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82" w:name="anexos"/>
      <w:bookmarkEnd w:id="82"/>
      <w:r>
        <w:t xml:space="preserve">Anexos</w:t>
      </w:r>
    </w:p>
    <w:p>
      <w:pPr>
        <w:pStyle w:val="Heading2"/>
      </w:pPr>
      <w:bookmarkStart w:id="83" w:name="vocabulario"/>
      <w:bookmarkEnd w:id="83"/>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4" w:name="abreviaturas"/>
      <w:bookmarkEnd w:id="84"/>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5" w:name="glosario"/>
      <w:bookmarkEnd w:id="85"/>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6" w:name="tablas"/>
      <w:bookmarkEnd w:id="86"/>
      <w:r>
        <w:t xml:space="preserve">Tablas</w:t>
      </w:r>
    </w:p>
    <w:p>
      <w:pPr>
        <w:pStyle w:val="Heading5"/>
      </w:pPr>
      <w:bookmarkStart w:id="87" w:name="tabla-1"/>
      <w:bookmarkEnd w:id="87"/>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8" w:name="tabla-2"/>
      <w:bookmarkEnd w:id="88"/>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9" w:name="tabla-3"/>
      <w:bookmarkEnd w:id="89"/>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90" w:name="tabla-4"/>
      <w:bookmarkEnd w:id="90"/>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91" w:name="tabla-5"/>
      <w:bookmarkEnd w:id="91"/>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c7b2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eb48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e8acf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2022-01-29T19:26:19Z</dcterms:created>
  <dcterms:modified xsi:type="dcterms:W3CDTF">2022-01-29T19:26:19Z</dcterms:modified>
</cp:coreProperties>
</file>