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0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4.1 Creación empresa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menú-tipo-semanal">
        <w:r>
          <w:rPr>
            <w:rStyle w:val="Hyperlink"/>
          </w:rPr>
          <w:t xml:space="preserve">Menú tipo semanal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0" w:name="grupo-europeo-para-el-estudio-de-la-resistencia-a-la-insulina-egir"/>
      <w:bookmarkEnd w:id="30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1" w:name="atp-iii"/>
      <w:bookmarkEnd w:id="31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2" w:name="asociación-americana-de-endocrinólogos-clínicos"/>
      <w:bookmarkEnd w:id="32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3" w:name="federación-internacional-de-diabetes"/>
      <w:bookmarkEnd w:id="33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0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4" w:name="diagnóstico-del-sm"/>
      <w:bookmarkEnd w:id="34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2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2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2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5" w:name="factores-de-riesgo-como-criterios-de-diagnóstico."/>
      <w:bookmarkEnd w:id="35"/>
      <w:r>
        <w:t xml:space="preserve">Factores de riesgo como criterios de diagnóstico.</w:t>
      </w: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3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3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4"/>
          <w:ilvl w:val="1"/>
        </w:numPr>
      </w:pPr>
      <w:r>
        <w:t xml:space="preserve">Grasa subcutánea</w:t>
      </w:r>
    </w:p>
    <w:p>
      <w:pPr>
        <w:pStyle w:val="Compact"/>
        <w:numPr>
          <w:numId w:val="1014"/>
          <w:ilvl w:val="1"/>
        </w:numPr>
      </w:pPr>
      <w:r>
        <w:t xml:space="preserve">Grasa interna</w:t>
      </w:r>
    </w:p>
    <w:p>
      <w:pPr>
        <w:pStyle w:val="Compact"/>
        <w:numPr>
          <w:numId w:val="1015"/>
          <w:ilvl w:val="2"/>
        </w:numPr>
      </w:pPr>
      <w:r>
        <w:t xml:space="preserve">Visceral</w:t>
      </w:r>
    </w:p>
    <w:p>
      <w:pPr>
        <w:pStyle w:val="Compact"/>
        <w:numPr>
          <w:numId w:val="1015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resistencia-a-la-insulina.-diabetes-mellitus-tipo-ii"/>
      <w:bookmarkEnd w:id="37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6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6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6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6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6"/>
          <w:ilvl w:val="0"/>
        </w:numPr>
      </w:pPr>
      <w:r>
        <w:t xml:space="preserve">Eleva la presión arterial.</w:t>
      </w:r>
    </w:p>
    <w:p>
      <w:pPr>
        <w:pStyle w:val="Compact"/>
        <w:numPr>
          <w:numId w:val="1016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7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7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7"/>
          <w:ilvl w:val="0"/>
        </w:numPr>
      </w:pPr>
      <w:r>
        <w:t xml:space="preserve">Dislipidemias.</w:t>
      </w:r>
    </w:p>
    <w:p>
      <w:pPr>
        <w:pStyle w:val="Compact"/>
        <w:numPr>
          <w:numId w:val="1017"/>
          <w:ilvl w:val="0"/>
        </w:numPr>
      </w:pPr>
      <w:r>
        <w:t xml:space="preserve">Hipertensión arterial.</w:t>
      </w:r>
    </w:p>
    <w:p>
      <w:pPr>
        <w:pStyle w:val="Compact"/>
        <w:numPr>
          <w:numId w:val="1017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0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0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1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1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rPr>
          <w:b/>
        </w:rPr>
        <w:t xml:space="preserve">Causas que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- 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4"/>
          <w:ilvl w:val="1"/>
        </w:numPr>
      </w:pPr>
      <w:r>
        <w:rPr>
          <w:i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2"/>
          <w:ilvl w:val="0"/>
        </w:numPr>
      </w:pPr>
      <w:r>
        <w:rPr>
          <w:b/>
        </w:rPr>
        <w:t xml:space="preserve">- 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5"/>
          <w:ilvl w:val="0"/>
        </w:numPr>
      </w:pPr>
      <w:r>
        <w:t xml:space="preserve">Sobrepeso / obesidad</w:t>
      </w:r>
    </w:p>
    <w:p>
      <w:pPr>
        <w:pStyle w:val="Compact"/>
        <w:numPr>
          <w:numId w:val="1025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5"/>
          <w:ilvl w:val="0"/>
        </w:numPr>
      </w:pPr>
      <w:r>
        <w:t xml:space="preserve">Exceso de alcohol</w:t>
      </w:r>
    </w:p>
    <w:p>
      <w:pPr>
        <w:pStyle w:val="Compact"/>
        <w:numPr>
          <w:numId w:val="1025"/>
          <w:ilvl w:val="0"/>
        </w:numPr>
      </w:pPr>
      <w:r>
        <w:t xml:space="preserve">Tabaquismo</w:t>
      </w:r>
    </w:p>
    <w:p>
      <w:pPr>
        <w:pStyle w:val="Compact"/>
        <w:numPr>
          <w:numId w:val="1025"/>
          <w:ilvl w:val="0"/>
        </w:numPr>
      </w:pPr>
      <w:r>
        <w:t xml:space="preserve">Inactividad física</w:t>
      </w:r>
    </w:p>
    <w:p>
      <w:pPr>
        <w:pStyle w:val="Compact"/>
        <w:numPr>
          <w:numId w:val="1025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5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6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6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6"/>
          <w:ilvl w:val="0"/>
        </w:numPr>
      </w:pPr>
      <w:r>
        <w:t xml:space="preserve">Disbetalipoproteinemia</w:t>
      </w:r>
    </w:p>
    <w:p>
      <w:pPr>
        <w:pStyle w:val="Compact"/>
        <w:numPr>
          <w:numId w:val="1026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7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7"/>
          <w:ilvl w:val="0"/>
        </w:numPr>
      </w:pPr>
      <w:r>
        <w:t xml:space="preserve">Enfermedad renal</w:t>
      </w:r>
    </w:p>
    <w:p>
      <w:pPr>
        <w:pStyle w:val="Compact"/>
        <w:numPr>
          <w:numId w:val="1027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7"/>
          <w:ilvl w:val="0"/>
        </w:numPr>
      </w:pPr>
      <w:r>
        <w:t xml:space="preserve">Problemas de tiroides</w:t>
      </w:r>
    </w:p>
    <w:p>
      <w:pPr>
        <w:pStyle w:val="Compact"/>
        <w:numPr>
          <w:numId w:val="1027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7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7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8"/>
          <w:ilvl w:val="0"/>
        </w:numPr>
      </w:pPr>
      <w:r>
        <w:t xml:space="preserve">Cáncer colorrectal</w:t>
      </w:r>
    </w:p>
    <w:p>
      <w:pPr>
        <w:pStyle w:val="Compact"/>
        <w:numPr>
          <w:numId w:val="1028"/>
          <w:ilvl w:val="0"/>
        </w:numPr>
      </w:pPr>
      <w:r>
        <w:t xml:space="preserve">Cáncer de mama</w:t>
      </w:r>
    </w:p>
    <w:p>
      <w:pPr>
        <w:pStyle w:val="Compact"/>
        <w:numPr>
          <w:numId w:val="1028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9"/>
          <w:ilvl w:val="0"/>
        </w:numPr>
      </w:pPr>
      <w:r>
        <w:t xml:space="preserve">Esteatosis hepática,</w:t>
      </w:r>
    </w:p>
    <w:p>
      <w:pPr>
        <w:pStyle w:val="Compact"/>
        <w:numPr>
          <w:numId w:val="1029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9"/>
          <w:ilvl w:val="0"/>
        </w:numPr>
      </w:pPr>
      <w:r>
        <w:t xml:space="preserve">Enfermedad renal crónica,</w:t>
      </w:r>
    </w:p>
    <w:p>
      <w:pPr>
        <w:pStyle w:val="Compact"/>
        <w:numPr>
          <w:numId w:val="1029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9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5" w:name="sm-en-la-mujer"/>
      <w:bookmarkEnd w:id="45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0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0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0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1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1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1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2"/>
          <w:ilvl w:val="0"/>
        </w:numPr>
      </w:pPr>
      <w:r>
        <w:t xml:space="preserve">Un mayor estrés oxidativo.</w:t>
      </w:r>
    </w:p>
    <w:p>
      <w:pPr>
        <w:pStyle w:val="Compact"/>
        <w:numPr>
          <w:numId w:val="1032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2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2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2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2"/>
      </w:pPr>
      <w:bookmarkStart w:id="51" w:name="paciente"/>
      <w:bookmarkEnd w:id="51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6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6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3"/>
      </w:pPr>
      <w:bookmarkStart w:id="52" w:name="ficha-dietética-del-paciente"/>
      <w:bookmarkEnd w:id="52"/>
      <w:r>
        <w:t xml:space="preserve">Ficha dietética del paciente</w:t>
      </w:r>
    </w:p>
    <w:p>
      <w:pPr>
        <w:pStyle w:val="FirstParagraph"/>
      </w:pPr>
      <w:r>
        <w:rPr>
          <w:b/>
        </w:rPr>
        <w:t xml:space="preserve">DATOS ADMINISTRATIVOS</w:t>
      </w:r>
    </w:p>
    <w:p>
      <w:pPr>
        <w:pStyle w:val="BodyText"/>
      </w:pPr>
      <w:r>
        <w:t xml:space="preserve">NOMBRE: SEXO: MUJER FECHA DE NACIMIENTO:</w:t>
      </w:r>
      <w:r>
        <w:br w:type="textWrapping"/>
      </w:r>
      <w:r>
        <w:t xml:space="preserve">EDAD: 53 E-MAIL:</w:t>
      </w:r>
      <w:r>
        <w:br w:type="textWrapping"/>
      </w:r>
      <w:r>
        <w:t xml:space="preserve">DIRECCIÓN: C. POSTAL: MÉDICO: TLF. MÉDIC0: OTROS DATOS DE INTERÉS:</w:t>
      </w:r>
    </w:p>
    <w:p>
      <w:pPr>
        <w:pStyle w:val="BodyText"/>
      </w:pPr>
      <w:r>
        <w:rPr>
          <w:b/>
        </w:rPr>
        <w:t xml:space="preserve">ANAMNESIS</w:t>
      </w:r>
    </w:p>
    <w:p>
      <w:pPr>
        <w:pStyle w:val="BodyText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37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rPr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38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38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rPr>
          <w:b/>
        </w:rPr>
        <w:t xml:space="preserve">SÍNTOMAS QUE SE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rPr>
          <w:b/>
        </w:rPr>
        <w:t xml:space="preserve">MOTIVOS DE LA ÚLTIMA CONSULTA AL MÉDICO</w:t>
      </w:r>
      <w:r>
        <w:t xml:space="preserve">:</w:t>
      </w:r>
    </w:p>
    <w:p>
      <w:pPr>
        <w:pStyle w:val="BodyText"/>
      </w:pPr>
      <w:r>
        <w:t xml:space="preserve">REVISIÓN RUTINARIA</w:t>
      </w:r>
    </w:p>
    <w:p>
      <w:pPr>
        <w:pStyle w:val="BodyText"/>
      </w:pPr>
      <w:r>
        <w:rPr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ALERGIAS</w:t>
      </w:r>
      <w:r>
        <w:t xml:space="preserve">: NO REFIERE</w:t>
      </w:r>
    </w:p>
    <w:p>
      <w:pPr>
        <w:pStyle w:val="BodyText"/>
      </w:pPr>
      <w:r>
        <w:rPr>
          <w:b/>
        </w:rPr>
        <w:t xml:space="preserve">ANTROPOMETRÍA</w:t>
      </w:r>
    </w:p>
    <w:p>
      <w:pPr>
        <w:pStyle w:val="BodyText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BodyText"/>
      </w:pPr>
      <w:r>
        <w:rPr>
          <w:b/>
        </w:rP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</w:rPr>
        <w:t xml:space="preserve">EXPLORACIÓN FÍSICA Y PREGUNTAS</w:t>
      </w:r>
    </w:p>
    <w:p>
      <w:pPr>
        <w:pStyle w:val="BodyText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BodyText"/>
      </w:pPr>
      <w:r>
        <w:rPr>
          <w:b/>
        </w:rPr>
        <w:t xml:space="preserve">ENTREVISTA AL PACIENTE</w:t>
      </w:r>
    </w:p>
    <w:p>
      <w:pPr>
        <w:pStyle w:val="BodyText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BodyText"/>
      </w:pPr>
      <w:r>
        <w:rPr>
          <w:b/>
        </w:rPr>
        <w:t xml:space="preserve">ASPECTOS SOCIALES</w:t>
      </w:r>
    </w:p>
    <w:p>
      <w:pPr>
        <w:pStyle w:val="BodyText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BodyText"/>
      </w:pPr>
      <w:r>
        <w:rPr>
          <w:b/>
        </w:rPr>
        <w:t xml:space="preserve">PRIMER DIAGNOSTICO E INTERVENCIÓN</w:t>
      </w:r>
    </w:p>
    <w:p>
      <w:pPr>
        <w:pStyle w:val="BodyText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39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53" w:name="recomendaciones"/>
      <w:bookmarkEnd w:id="53"/>
      <w:r>
        <w:t xml:space="preserve">RECOMENDACIONES</w:t>
      </w:r>
    </w:p>
    <w:p>
      <w:pPr>
        <w:pStyle w:val="Compact"/>
        <w:numPr>
          <w:numId w:val="1040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0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0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0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0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0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1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1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1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1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1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54" w:name="dieta"/>
      <w:bookmarkEnd w:id="54"/>
      <w:r>
        <w:t xml:space="preserve">Dieta</w:t>
      </w:r>
    </w:p>
    <w:p>
      <w:pPr>
        <w:pStyle w:val="FirstParagraph"/>
      </w:pPr>
      <w:r>
        <w:t xml:space="preserve">DIETA TIPO DE 1500 KCL.</w:t>
      </w:r>
    </w:p>
    <w:p>
      <w:pPr>
        <w:pStyle w:val="BodyText"/>
      </w:pPr>
      <w:r>
        <w:t xml:space="preserve">CALCULO REALIZADO CON LA ECUACIÓN DE HARRYS Y BENEDICT Y LA FORMULA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55" w:name="menú-tipo-semanal"/>
      <w:bookmarkEnd w:id="55"/>
      <w:r>
        <w:t xml:space="preserve">MENÚ TIPO SEMANAL</w:t>
      </w:r>
    </w:p>
    <w:p>
      <w:pPr>
        <w:pStyle w:val="FirstParagraph"/>
      </w:pPr>
      <w:r>
        <w:t xml:space="preserve">Vasito de agua del tiempo en ayunas</w:t>
      </w:r>
    </w:p>
    <w:p>
      <w:pPr>
        <w:pStyle w:val="BodyText"/>
      </w:pPr>
      <w:r>
        <w:rPr>
          <w:b/>
        </w:rPr>
        <w:t xml:space="preserve">DESAYUNOS</w:t>
      </w:r>
    </w:p>
    <w:p>
      <w:pPr>
        <w:pStyle w:val="Compact"/>
        <w:numPr>
          <w:numId w:val="1042"/>
          <w:ilvl w:val="0"/>
        </w:numPr>
      </w:pPr>
      <w:r>
        <w:t xml:space="preserve">30 grs de avena con leche y canela+ un plátano.</w:t>
      </w:r>
    </w:p>
    <w:p>
      <w:pPr>
        <w:pStyle w:val="Compact"/>
        <w:numPr>
          <w:numId w:val="1042"/>
          <w:ilvl w:val="0"/>
        </w:numPr>
      </w:pPr>
      <w:r>
        <w:t xml:space="preserve">Tostada de pan integral +jamón serrano con aceite oliva / mermelada</w:t>
      </w:r>
      <w:r>
        <w:t xml:space="preserve"> </w:t>
      </w:r>
      <w:r>
        <w:t xml:space="preserve">sin azúcar +1 fruta.</w:t>
      </w:r>
    </w:p>
    <w:p>
      <w:pPr>
        <w:pStyle w:val="Compact"/>
        <w:numPr>
          <w:numId w:val="1042"/>
          <w:ilvl w:val="0"/>
        </w:numPr>
      </w:pPr>
      <w:r>
        <w:t xml:space="preserve">1 yogurt +30 grs de cereales/avena + naranja entera.</w:t>
      </w:r>
    </w:p>
    <w:p>
      <w:pPr>
        <w:pStyle w:val="FirstParagraph"/>
      </w:pPr>
      <w:r>
        <w:rPr>
          <w:b/>
        </w:rPr>
        <w:t xml:space="preserve">MEDIA MAÑANA</w:t>
      </w:r>
    </w:p>
    <w:p>
      <w:pPr>
        <w:pStyle w:val="Compact"/>
        <w:numPr>
          <w:numId w:val="1043"/>
          <w:ilvl w:val="0"/>
        </w:numPr>
      </w:pPr>
      <w:r>
        <w:t xml:space="preserve">30 grs de pan integral con humus / queso fresco + una fruta +</w:t>
      </w:r>
      <w:r>
        <w:t xml:space="preserve"> </w:t>
      </w:r>
      <w:r>
        <w:t xml:space="preserve">infusión / café</w:t>
      </w:r>
    </w:p>
    <w:p>
      <w:pPr>
        <w:pStyle w:val="Compact"/>
        <w:numPr>
          <w:numId w:val="1043"/>
          <w:ilvl w:val="0"/>
        </w:numPr>
      </w:pPr>
      <w:r>
        <w:t xml:space="preserve">30 grs avena + 1 yogurt + 6 frutos secos+ Infusión 1.</w:t>
      </w:r>
    </w:p>
    <w:p>
      <w:pPr>
        <w:pStyle w:val="Compact"/>
        <w:numPr>
          <w:numId w:val="1043"/>
          <w:ilvl w:val="0"/>
        </w:numPr>
      </w:pPr>
      <w:r>
        <w:t xml:space="preserve">1 plátano + 1 yogurt + infusión</w:t>
      </w:r>
    </w:p>
    <w:p>
      <w:pPr>
        <w:pStyle w:val="FirstParagraph"/>
      </w:pPr>
      <w:r>
        <w:rPr>
          <w:b/>
        </w:rPr>
        <w:t xml:space="preserve">COMIDAS</w:t>
      </w:r>
    </w:p>
    <w:p>
      <w:pPr>
        <w:pStyle w:val="Compact"/>
        <w:numPr>
          <w:numId w:val="1044"/>
          <w:ilvl w:val="0"/>
        </w:numPr>
      </w:pPr>
      <w:r>
        <w:t xml:space="preserve">Guisantes con brócoli + salmón a la plancha + 1 fruta</w:t>
      </w:r>
    </w:p>
    <w:p>
      <w:pPr>
        <w:pStyle w:val="Compact"/>
        <w:numPr>
          <w:numId w:val="1044"/>
          <w:ilvl w:val="0"/>
        </w:numPr>
      </w:pPr>
      <w:r>
        <w:t xml:space="preserve">judías hervidas + patata + filete ternera a la plancha +1 fruta</w:t>
      </w:r>
    </w:p>
    <w:p>
      <w:pPr>
        <w:pStyle w:val="Compact"/>
        <w:numPr>
          <w:numId w:val="1044"/>
          <w:ilvl w:val="0"/>
        </w:numPr>
      </w:pPr>
      <w:r>
        <w:t xml:space="preserve">Menestra de verduras + patata + pollo a la plancha / horno + 1 fruta</w:t>
      </w:r>
    </w:p>
    <w:p>
      <w:pPr>
        <w:pStyle w:val="Compact"/>
        <w:numPr>
          <w:numId w:val="1044"/>
          <w:ilvl w:val="0"/>
        </w:numPr>
      </w:pPr>
      <w:r>
        <w:t xml:space="preserve">Salteado de espinacas con garbanzos + lubina a la plancha + 1 fruta</w:t>
      </w:r>
    </w:p>
    <w:p>
      <w:pPr>
        <w:pStyle w:val="Compact"/>
        <w:numPr>
          <w:numId w:val="1044"/>
          <w:ilvl w:val="0"/>
        </w:numPr>
      </w:pPr>
      <w:r>
        <w:t xml:space="preserve">Espárragos trigueros + tomate + pollo /pavo a la plancha / horno.</w:t>
      </w:r>
    </w:p>
    <w:p>
      <w:pPr>
        <w:pStyle w:val="Compact"/>
        <w:numPr>
          <w:numId w:val="1044"/>
          <w:ilvl w:val="0"/>
        </w:numPr>
      </w:pPr>
      <w:r>
        <w:t xml:space="preserve">Un plato lentejas con verduras + un cítrico.</w:t>
      </w:r>
    </w:p>
    <w:p>
      <w:pPr>
        <w:pStyle w:val="Compact"/>
        <w:numPr>
          <w:numId w:val="1044"/>
          <w:ilvl w:val="0"/>
        </w:numPr>
      </w:pPr>
      <w:r>
        <w:t xml:space="preserve">Pisto de berenjena + calabacín + pimiento + verdel al horno/plancha</w:t>
      </w:r>
      <w:r>
        <w:t xml:space="preserve"> </w:t>
      </w:r>
      <w:r>
        <w:t xml:space="preserve">+fruta.</w:t>
      </w:r>
    </w:p>
    <w:p>
      <w:pPr>
        <w:pStyle w:val="FirstParagraph"/>
      </w:pPr>
      <w:r>
        <w:rPr>
          <w:b/>
        </w:rPr>
        <w:t xml:space="preserve">MEDIA TARDE</w:t>
      </w:r>
    </w:p>
    <w:p>
      <w:pPr>
        <w:pStyle w:val="Compact"/>
        <w:numPr>
          <w:numId w:val="1045"/>
          <w:ilvl w:val="0"/>
        </w:numPr>
      </w:pPr>
      <w:r>
        <w:t xml:space="preserve">Tostada de pan integral (30 grs) +jamón cocido bajo en sal + 8</w:t>
      </w:r>
      <w:r>
        <w:t xml:space="preserve"> </w:t>
      </w:r>
      <w:r>
        <w:t xml:space="preserve">frutos secos. Infusión</w:t>
      </w:r>
    </w:p>
    <w:p>
      <w:pPr>
        <w:pStyle w:val="Compact"/>
        <w:numPr>
          <w:numId w:val="1045"/>
          <w:ilvl w:val="0"/>
        </w:numPr>
      </w:pPr>
      <w:r>
        <w:t xml:space="preserve">Yogurt natural + 1 fruta + infusión</w:t>
      </w:r>
      <w:r>
        <w:br w:type="textWrapping"/>
      </w:r>
    </w:p>
    <w:p>
      <w:pPr>
        <w:pStyle w:val="Compact"/>
        <w:numPr>
          <w:numId w:val="1045"/>
          <w:ilvl w:val="0"/>
        </w:numPr>
      </w:pPr>
      <w:r>
        <w:t xml:space="preserve">20 grs de pan integral + queso fresco + infusión</w:t>
      </w:r>
    </w:p>
    <w:p>
      <w:pPr>
        <w:pStyle w:val="FirstParagraph"/>
      </w:pPr>
      <w:r>
        <w:rPr>
          <w:b/>
        </w:rPr>
        <w:t xml:space="preserve">CENAS</w:t>
      </w:r>
    </w:p>
    <w:p>
      <w:pPr>
        <w:pStyle w:val="Compact"/>
        <w:numPr>
          <w:numId w:val="1046"/>
          <w:ilvl w:val="0"/>
        </w:numPr>
      </w:pPr>
      <w:r>
        <w:t xml:space="preserve">Crema de verduras + calamares a la plancha</w:t>
      </w:r>
      <w:r>
        <w:br w:type="textWrapping"/>
      </w:r>
    </w:p>
    <w:p>
      <w:pPr>
        <w:pStyle w:val="Compact"/>
        <w:numPr>
          <w:numId w:val="1046"/>
          <w:ilvl w:val="0"/>
        </w:numPr>
      </w:pPr>
      <w:r>
        <w:t xml:space="preserve">Menestra de verduras con lubina a la plancha/ papillote</w:t>
      </w:r>
    </w:p>
    <w:p>
      <w:pPr>
        <w:pStyle w:val="Compact"/>
        <w:numPr>
          <w:numId w:val="1046"/>
          <w:ilvl w:val="0"/>
        </w:numPr>
      </w:pPr>
      <w:r>
        <w:t xml:space="preserve">Espinacas salteadas + merluza a la plancha/papillote</w:t>
      </w:r>
    </w:p>
    <w:p>
      <w:pPr>
        <w:pStyle w:val="Compact"/>
        <w:numPr>
          <w:numId w:val="1046"/>
          <w:ilvl w:val="0"/>
        </w:numPr>
      </w:pPr>
      <w:r>
        <w:t xml:space="preserve">Revuelto de dos huevos con champiñones y jamón + lechuga en</w:t>
      </w:r>
      <w:r>
        <w:t xml:space="preserve"> </w:t>
      </w:r>
      <w:r>
        <w:t xml:space="preserve">ensalada.</w:t>
      </w:r>
    </w:p>
    <w:p>
      <w:pPr>
        <w:pStyle w:val="Compact"/>
        <w:numPr>
          <w:numId w:val="1046"/>
          <w:ilvl w:val="0"/>
        </w:numPr>
      </w:pPr>
      <w:r>
        <w:t xml:space="preserve">Dorada a la plancha + ensalada de lechuga + tomate+ espárragos</w:t>
      </w:r>
    </w:p>
    <w:p>
      <w:pPr>
        <w:pStyle w:val="Compact"/>
        <w:numPr>
          <w:numId w:val="1046"/>
          <w:ilvl w:val="0"/>
        </w:numPr>
      </w:pPr>
      <w:r>
        <w:t xml:space="preserve">Cremade verduras + queso tipo burgos</w:t>
      </w:r>
    </w:p>
    <w:p>
      <w:pPr>
        <w:pStyle w:val="Compact"/>
        <w:numPr>
          <w:numId w:val="1046"/>
          <w:ilvl w:val="0"/>
        </w:numPr>
      </w:pPr>
      <w:r>
        <w:t xml:space="preserve">Merluza cocida + patata + guisantes</w:t>
      </w:r>
    </w:p>
    <w:p>
      <w:pPr>
        <w:pStyle w:val="FirstParagraph"/>
      </w:pPr>
    </w:p>
    <w:p>
      <w:pPr>
        <w:pStyle w:val="Heading3"/>
      </w:pPr>
      <w:bookmarkStart w:id="56" w:name="recuento-alimentario-de-tres-días"/>
      <w:bookmarkEnd w:id="56"/>
      <w:r>
        <w:t xml:space="preserve">RECUENTO ALIMENTARIO DE TRES DÍAS</w:t>
      </w:r>
    </w:p>
    <w:p>
      <w:pPr>
        <w:pStyle w:val="Compact"/>
        <w:numPr>
          <w:numId w:val="1047"/>
          <w:ilvl w:val="0"/>
        </w:numPr>
      </w:pPr>
      <w:r>
        <w:rPr>
          <w:b/>
        </w:rPr>
        <w:t xml:space="preserve">DIA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8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9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Heading3"/>
      </w:pPr>
      <w:bookmarkStart w:id="57" w:name="resultados-paciente"/>
      <w:bookmarkEnd w:id="57"/>
      <w:r>
        <w:t xml:space="preserve">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50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0"/>
          <w:ilvl w:val="0"/>
        </w:numPr>
      </w:pPr>
      <w:r>
        <w:t xml:space="preserve">Dormir mejor.</w:t>
      </w:r>
    </w:p>
    <w:p>
      <w:pPr>
        <w:pStyle w:val="Compact"/>
        <w:numPr>
          <w:numId w:val="1050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0"/>
          <w:ilvl w:val="0"/>
        </w:numPr>
      </w:pPr>
      <w:r>
        <w:t xml:space="preserve">Comenta que antes se encontraba más cansada física y mentalmente.</w:t>
      </w:r>
      <w:r>
        <w:t xml:space="preserve"> </w:t>
      </w:r>
      <w:r>
        <w:t xml:space="preserve">Dice encontrarse con más energía y más alegría lo que le supone un</w:t>
      </w:r>
      <w:r>
        <w:t xml:space="preserve"> </w:t>
      </w:r>
      <w:r>
        <w:t xml:space="preserve">mayor bienestar emocional.</w:t>
      </w:r>
    </w:p>
    <w:p>
      <w:pPr>
        <w:pStyle w:val="Compact"/>
        <w:numPr>
          <w:numId w:val="1050"/>
          <w:ilvl w:val="0"/>
        </w:numPr>
      </w:pPr>
      <w:r>
        <w:t xml:space="preserve">Manifiesta encontrarse más alegre y con mejor ánimo.</w:t>
      </w:r>
    </w:p>
    <w:p>
      <w:pPr>
        <w:pStyle w:val="Compact"/>
        <w:numPr>
          <w:numId w:val="1050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Hace un balance en general muy positivo, se encuentra muy contenta con</w:t>
      </w:r>
      <w:r>
        <w:t xml:space="preserve"> </w:t>
      </w:r>
      <w:r>
        <w:t xml:space="preserve">los resultados.</w:t>
      </w:r>
    </w:p>
    <w:p>
      <w:pPr>
        <w:pStyle w:val="BodyText"/>
      </w:pPr>
    </w:p>
    <w:p>
      <w:pPr>
        <w:pStyle w:val="Heading1"/>
      </w:pPr>
      <w:bookmarkStart w:id="58" w:name="material-y-métodos"/>
      <w:bookmarkEnd w:id="58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9" w:name="creación-empresa"/>
      <w:bookmarkEnd w:id="59"/>
      <w:r>
        <w:t xml:space="preserve">4.1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60" w:name="pasos-para-montar-la-empresa"/>
      <w:bookmarkEnd w:id="60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61" w:name="plan-dafo"/>
      <w:bookmarkEnd w:id="61"/>
      <w:r>
        <w:t xml:space="preserve">Plan DAFO</w:t>
      </w:r>
    </w:p>
    <w:p>
      <w:pPr>
        <w:pStyle w:val="Heading4"/>
      </w:pPr>
      <w:bookmarkStart w:id="62" w:name="debilidades"/>
      <w:bookmarkEnd w:id="62"/>
      <w:r>
        <w:t xml:space="preserve">Debilidades</w:t>
      </w:r>
    </w:p>
    <w:p>
      <w:pPr>
        <w:pStyle w:val="Compact"/>
        <w:numPr>
          <w:numId w:val="1051"/>
          <w:ilvl w:val="0"/>
        </w:numPr>
      </w:pPr>
      <w:r>
        <w:t xml:space="preserve">Empresa desconocida.</w:t>
      </w:r>
    </w:p>
    <w:p>
      <w:pPr>
        <w:pStyle w:val="Compact"/>
        <w:numPr>
          <w:numId w:val="1051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52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52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52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63" w:name="amenazas"/>
      <w:bookmarkEnd w:id="63"/>
      <w:r>
        <w:t xml:space="preserve">Amenazas</w:t>
      </w:r>
    </w:p>
    <w:p>
      <w:pPr>
        <w:pStyle w:val="Compact"/>
        <w:numPr>
          <w:numId w:val="1053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53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53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4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4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4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64" w:name="fortalezas"/>
      <w:bookmarkEnd w:id="64"/>
      <w:r>
        <w:t xml:space="preserve">Fortalezas</w:t>
      </w:r>
    </w:p>
    <w:p>
      <w:pPr>
        <w:pStyle w:val="Compact"/>
        <w:numPr>
          <w:numId w:val="1055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5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5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5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5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5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5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6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6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65" w:name="oportunidades"/>
      <w:bookmarkEnd w:id="65"/>
      <w:r>
        <w:t xml:space="preserve">Oportunidades</w:t>
      </w:r>
    </w:p>
    <w:p>
      <w:pPr>
        <w:pStyle w:val="Compact"/>
        <w:numPr>
          <w:numId w:val="1057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7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8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6" w:name="plan-de-marketing"/>
      <w:bookmarkEnd w:id="66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7" w:name="plan-financiero"/>
      <w:bookmarkEnd w:id="67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8" w:name="plan-gastos-y-beneficios-de-la-empresa"/>
      <w:bookmarkEnd w:id="68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69" w:name="papeles-oficiales-para-gestionar-la-empresa-alta-en-la-seguridad-social-iae-licencia-del-ayuntamiento-para-la-apertura-etc."/>
      <w:bookmarkEnd w:id="69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70" w:name="resultados"/>
      <w:bookmarkEnd w:id="70"/>
      <w:r>
        <w:t xml:space="preserve">5. Resultados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9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9"/>
          <w:ilvl w:val="0"/>
        </w:numPr>
      </w:pPr>
      <w:r>
        <w:t xml:space="preserve">Dormir mejor.</w:t>
      </w:r>
    </w:p>
    <w:p>
      <w:pPr>
        <w:pStyle w:val="Compact"/>
        <w:numPr>
          <w:numId w:val="1059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9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71" w:name="discusión"/>
      <w:bookmarkEnd w:id="71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60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60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60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60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72" w:name="conclusión"/>
      <w:bookmarkEnd w:id="72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3" w:name="bibliografía"/>
      <w:bookmarkEnd w:id="73"/>
      <w:r>
        <w:t xml:space="preserve">Bibliografía</w:t>
      </w:r>
    </w:p>
    <w:p>
      <w:pPr>
        <w:pStyle w:val="Compact"/>
        <w:numPr>
          <w:numId w:val="1061"/>
          <w:ilvl w:val="0"/>
        </w:numPr>
      </w:pPr>
      <w:hyperlink r:id="rId74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61"/>
          <w:ilvl w:val="0"/>
        </w:numPr>
      </w:pPr>
      <w:hyperlink r:id="rId75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61"/>
          <w:ilvl w:val="0"/>
        </w:numPr>
      </w:pPr>
      <w:hyperlink r:id="rId76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61"/>
          <w:ilvl w:val="0"/>
        </w:numPr>
      </w:pPr>
      <w:hyperlink r:id="rId77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61"/>
          <w:ilvl w:val="0"/>
        </w:numPr>
      </w:pPr>
      <w:hyperlink r:id="rId7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61"/>
          <w:ilvl w:val="0"/>
        </w:numPr>
      </w:pPr>
      <w:hyperlink r:id="rId79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61"/>
          <w:ilvl w:val="0"/>
        </w:numPr>
      </w:pPr>
      <w:hyperlink r:id="rId8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61"/>
          <w:ilvl w:val="0"/>
        </w:numPr>
      </w:pPr>
      <w:hyperlink r:id="rId81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62"/>
          <w:ilvl w:val="0"/>
        </w:numPr>
      </w:pPr>
      <w:hyperlink r:id="rId82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62"/>
          <w:ilvl w:val="0"/>
        </w:numPr>
      </w:pPr>
      <w:hyperlink r:id="rId83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62"/>
          <w:ilvl w:val="0"/>
        </w:numPr>
      </w:pPr>
      <w:hyperlink r:id="rId84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62"/>
          <w:ilvl w:val="0"/>
        </w:numPr>
      </w:pPr>
      <w:hyperlink r:id="rId85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62"/>
          <w:ilvl w:val="0"/>
        </w:numPr>
      </w:pPr>
      <w:hyperlink r:id="rId86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62"/>
          <w:ilvl w:val="0"/>
        </w:numPr>
      </w:pPr>
      <w:hyperlink r:id="rId87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62"/>
          <w:ilvl w:val="0"/>
        </w:numPr>
      </w:pPr>
      <w:hyperlink r:id="rId88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62"/>
          <w:ilvl w:val="0"/>
        </w:numPr>
      </w:pPr>
      <w:hyperlink r:id="rId89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62"/>
          <w:ilvl w:val="0"/>
        </w:numPr>
      </w:pPr>
      <w:hyperlink r:id="rId90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62"/>
          <w:ilvl w:val="0"/>
        </w:numPr>
      </w:pPr>
      <w:hyperlink r:id="rId91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62"/>
          <w:ilvl w:val="0"/>
        </w:numPr>
      </w:pPr>
      <w:hyperlink r:id="rId92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62"/>
          <w:ilvl w:val="0"/>
        </w:numPr>
      </w:pPr>
      <w:hyperlink r:id="rId93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62"/>
          <w:ilvl w:val="0"/>
        </w:numPr>
      </w:pPr>
      <w:hyperlink r:id="rId94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62"/>
          <w:ilvl w:val="0"/>
        </w:numPr>
      </w:pPr>
      <w:hyperlink r:id="rId95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62"/>
          <w:ilvl w:val="0"/>
        </w:numPr>
      </w:pPr>
      <w:hyperlink r:id="rId96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62"/>
          <w:ilvl w:val="0"/>
        </w:numPr>
      </w:pPr>
      <w:hyperlink r:id="rId97">
        <w:r>
          <w:rPr>
            <w:rStyle w:val="Hyperlink"/>
          </w:rPr>
          <w:t xml:space="preserve">Síndrome metabólico: una revisión de criterios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internacionales</w:t>
        </w:r>
      </w:hyperlink>
    </w:p>
    <w:p>
      <w:pPr>
        <w:pStyle w:val="FirstParagraph"/>
      </w:pPr>
    </w:p>
    <w:p>
      <w:pPr>
        <w:pStyle w:val="Heading1"/>
      </w:pPr>
      <w:bookmarkStart w:id="98" w:name="anexos"/>
      <w:bookmarkEnd w:id="98"/>
      <w:r>
        <w:t xml:space="preserve">Anexos</w:t>
      </w:r>
    </w:p>
    <w:p>
      <w:pPr>
        <w:pStyle w:val="Heading2"/>
      </w:pPr>
      <w:bookmarkStart w:id="99" w:name="abreviaturas"/>
      <w:bookmarkEnd w:id="99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 EGIR: European</w:t>
      </w:r>
      <w:r>
        <w:t xml:space="preserve"> </w:t>
      </w:r>
      <w:r>
        <w:t xml:space="preserve">Group for the Study of Insulin Resistance</w:t>
      </w:r>
    </w:p>
    <w:p>
      <w:pPr>
        <w:pStyle w:val="Heading2"/>
      </w:pPr>
      <w:bookmarkStart w:id="100" w:name="glosario"/>
      <w:bookmarkEnd w:id="100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t xml:space="preserve"> </w:t>
      </w:r>
      <w:r>
        <w:rPr>
          <w:b/>
        </w:rPr>
        <w:t xml:space="preserve">Estado protrombótico</w:t>
      </w:r>
      <w:r>
        <w:t xml:space="preserve">: aumento del</w:t>
      </w:r>
      <w:r>
        <w:t xml:space="preserve"> </w:t>
      </w:r>
      <w:r>
        <w:t xml:space="preserve">inhibidor de plasminógeno 1 y 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t xml:space="preserve"> </w:t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01" w:name="evolución-histórica-de-los-criterios-del-síndrome-metabólico"/>
      <w:bookmarkEnd w:id="101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1"/>
      </w:pPr>
      <w:bookmarkStart w:id="102" w:name="díptico"/>
      <w:bookmarkEnd w:id="102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7189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33e2e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257102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03" Target="media/rId103.png" /><Relationship Type="http://schemas.openxmlformats.org/officeDocument/2006/relationships/hyperlink" Id="rId84" Target="http://dspace.utalca.cl/handle/1950/4714" TargetMode="External" /><Relationship Type="http://schemas.openxmlformats.org/officeDocument/2006/relationships/hyperlink" Id="rId78" Target="http://hdl.handle.net/2183/16548" TargetMode="External" /><Relationship Type="http://schemas.openxmlformats.org/officeDocument/2006/relationships/hyperlink" Id="rId80" Target="http://scielo.isciii.es/scielo.php?script=sci_arttext&amp;pid=S0212-16112017000500013&amp;lng=es&amp;nrm=iso" TargetMode="External" /><Relationship Type="http://schemas.openxmlformats.org/officeDocument/2006/relationships/hyperlink" Id="rId76" Target="http://scielo.isciii.es/scielo.php?script=sci_arttext&amp;pid=S1137-66272016000200009&amp;lng=es&amp;nrm=iso" TargetMode="External" /><Relationship Type="http://schemas.openxmlformats.org/officeDocument/2006/relationships/hyperlink" Id="rId74" Target="http://scielo.sld.cu/scielo.php?script=sci_arttext&amp;pid=S1561-29532006000300006" TargetMode="External" /><Relationship Type="http://schemas.openxmlformats.org/officeDocument/2006/relationships/hyperlink" Id="rId79" Target="http://ve.scielo.org/scielo.php?script=sci_arttext&amp;pid=S0048-77322011000200002&amp;lng=es&amp;nrm=iso" TargetMode="External" /><Relationship Type="http://schemas.openxmlformats.org/officeDocument/2006/relationships/hyperlink" Id="rId77" Target="http://ve.scielo.org/scielo.php?script=sci_arttext&amp;pid=S0798-07522007000200006" TargetMode="External" /><Relationship Type="http://schemas.openxmlformats.org/officeDocument/2006/relationships/hyperlink" Id="rId97" Target="http://www.scielo.org.co/pdf/rcca/v28n1/0120-5633-rcca-28-1-60.pdf" TargetMode="External" /><Relationship Type="http://schemas.openxmlformats.org/officeDocument/2006/relationships/hyperlink" Id="rId91" Target="http://www.scielo.org.pe/scielo.php?script=sci_arttext&amp;pid=S1025-55832020000100092&amp;lng=es" TargetMode="External" /><Relationship Type="http://schemas.openxmlformats.org/officeDocument/2006/relationships/hyperlink" Id="rId83" Target="https://doi.org/10.1373/clinchem.2005.048611" TargetMode="External" /><Relationship Type="http://schemas.openxmlformats.org/officeDocument/2006/relationships/hyperlink" Id="rId86" Target="https://isanidad.com/67663/la-falta-de-sueno-puede-disminuir-el-colesterol-bueno/" TargetMode="External" /><Relationship Type="http://schemas.openxmlformats.org/officeDocument/2006/relationships/hyperlink" Id="rId88" Target="https://middlesexhealth.org/learning-center/espanol/enfermedades-y-afecciones/s-ndrome-metab-lico" TargetMode="External" /><Relationship Type="http://schemas.openxmlformats.org/officeDocument/2006/relationships/hyperlink" Id="rId85" Target="https://ruc.udc.es/dspace/handle/2183/16548" TargetMode="External" /><Relationship Type="http://schemas.openxmlformats.org/officeDocument/2006/relationships/hyperlink" Id="rId92" Target="https://scielo.isciii.es/scielo.php?script=sci_arttext&amp;pid=S0212-16112017000500013" TargetMode="External" /><Relationship Type="http://schemas.openxmlformats.org/officeDocument/2006/relationships/hyperlink" Id="rId95" Target="https://scielo.isciii.es/scielo.php?script=sci_arttext&amp;pid=S0212-71992008000700003" TargetMode="External" /><Relationship Type="http://schemas.openxmlformats.org/officeDocument/2006/relationships/hyperlink" Id="rId87" Target="https://www.cun.es/enfermedades-tratamientos/enfermedades/sindrome-metabolico" TargetMode="External" /><Relationship Type="http://schemas.openxmlformats.org/officeDocument/2006/relationships/hyperlink" Id="rId9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6" Target="https://www.flasog.org/static/academica/Sindrome-Metabolico.pdf" TargetMode="External" /><Relationship Type="http://schemas.openxmlformats.org/officeDocument/2006/relationships/hyperlink" Id="rId89" Target="https://www.mayoclinic.org/es-es/diseases-conditions/metabolic-syndrome/diagnosis-treatment/drc-20351921" TargetMode="External" /><Relationship Type="http://schemas.openxmlformats.org/officeDocument/2006/relationships/hyperlink" Id="rId90" Target="https://www.mayoclinic.org/es-es/diseases-conditions/metabolic-syndrome/symptoms-causes/syc-20351916" TargetMode="External" /><Relationship Type="http://schemas.openxmlformats.org/officeDocument/2006/relationships/hyperlink" Id="rId93" Target="https://www.pediatriaintegral.es/publicacion-2015-07/sindrome-metabolico/" TargetMode="External" /><Relationship Type="http://schemas.openxmlformats.org/officeDocument/2006/relationships/hyperlink" Id="rId75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1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4" Target="http://dspace.utalca.cl/handle/1950/4714" TargetMode="External" /><Relationship Type="http://schemas.openxmlformats.org/officeDocument/2006/relationships/hyperlink" Id="rId78" Target="http://hdl.handle.net/2183/16548" TargetMode="External" /><Relationship Type="http://schemas.openxmlformats.org/officeDocument/2006/relationships/hyperlink" Id="rId80" Target="http://scielo.isciii.es/scielo.php?script=sci_arttext&amp;pid=S0212-16112017000500013&amp;lng=es&amp;nrm=iso" TargetMode="External" /><Relationship Type="http://schemas.openxmlformats.org/officeDocument/2006/relationships/hyperlink" Id="rId76" Target="http://scielo.isciii.es/scielo.php?script=sci_arttext&amp;pid=S1137-66272016000200009&amp;lng=es&amp;nrm=iso" TargetMode="External" /><Relationship Type="http://schemas.openxmlformats.org/officeDocument/2006/relationships/hyperlink" Id="rId74" Target="http://scielo.sld.cu/scielo.php?script=sci_arttext&amp;pid=S1561-29532006000300006" TargetMode="External" /><Relationship Type="http://schemas.openxmlformats.org/officeDocument/2006/relationships/hyperlink" Id="rId79" Target="http://ve.scielo.org/scielo.php?script=sci_arttext&amp;pid=S0048-77322011000200002&amp;lng=es&amp;nrm=iso" TargetMode="External" /><Relationship Type="http://schemas.openxmlformats.org/officeDocument/2006/relationships/hyperlink" Id="rId77" Target="http://ve.scielo.org/scielo.php?script=sci_arttext&amp;pid=S0798-07522007000200006" TargetMode="External" /><Relationship Type="http://schemas.openxmlformats.org/officeDocument/2006/relationships/hyperlink" Id="rId97" Target="http://www.scielo.org.co/pdf/rcca/v28n1/0120-5633-rcca-28-1-60.pdf" TargetMode="External" /><Relationship Type="http://schemas.openxmlformats.org/officeDocument/2006/relationships/hyperlink" Id="rId91" Target="http://www.scielo.org.pe/scielo.php?script=sci_arttext&amp;pid=S1025-55832020000100092&amp;lng=es" TargetMode="External" /><Relationship Type="http://schemas.openxmlformats.org/officeDocument/2006/relationships/hyperlink" Id="rId83" Target="https://doi.org/10.1373/clinchem.2005.048611" TargetMode="External" /><Relationship Type="http://schemas.openxmlformats.org/officeDocument/2006/relationships/hyperlink" Id="rId86" Target="https://isanidad.com/67663/la-falta-de-sueno-puede-disminuir-el-colesterol-bueno/" TargetMode="External" /><Relationship Type="http://schemas.openxmlformats.org/officeDocument/2006/relationships/hyperlink" Id="rId88" Target="https://middlesexhealth.org/learning-center/espanol/enfermedades-y-afecciones/s-ndrome-metab-lico" TargetMode="External" /><Relationship Type="http://schemas.openxmlformats.org/officeDocument/2006/relationships/hyperlink" Id="rId85" Target="https://ruc.udc.es/dspace/handle/2183/16548" TargetMode="External" /><Relationship Type="http://schemas.openxmlformats.org/officeDocument/2006/relationships/hyperlink" Id="rId92" Target="https://scielo.isciii.es/scielo.php?script=sci_arttext&amp;pid=S0212-16112017000500013" TargetMode="External" /><Relationship Type="http://schemas.openxmlformats.org/officeDocument/2006/relationships/hyperlink" Id="rId95" Target="https://scielo.isciii.es/scielo.php?script=sci_arttext&amp;pid=S0212-71992008000700003" TargetMode="External" /><Relationship Type="http://schemas.openxmlformats.org/officeDocument/2006/relationships/hyperlink" Id="rId87" Target="https://www.cun.es/enfermedades-tratamientos/enfermedades/sindrome-metabolico" TargetMode="External" /><Relationship Type="http://schemas.openxmlformats.org/officeDocument/2006/relationships/hyperlink" Id="rId94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2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6" Target="https://www.flasog.org/static/academica/Sindrome-Metabolico.pdf" TargetMode="External" /><Relationship Type="http://schemas.openxmlformats.org/officeDocument/2006/relationships/hyperlink" Id="rId89" Target="https://www.mayoclinic.org/es-es/diseases-conditions/metabolic-syndrome/diagnosis-treatment/drc-20351921" TargetMode="External" /><Relationship Type="http://schemas.openxmlformats.org/officeDocument/2006/relationships/hyperlink" Id="rId90" Target="https://www.mayoclinic.org/es-es/diseases-conditions/metabolic-syndrome/symptoms-causes/syc-20351916" TargetMode="External" /><Relationship Type="http://schemas.openxmlformats.org/officeDocument/2006/relationships/hyperlink" Id="rId93" Target="https://www.pediatriaintegral.es/publicacion-2015-07/sindrome-metabolico/" TargetMode="External" /><Relationship Type="http://schemas.openxmlformats.org/officeDocument/2006/relationships/hyperlink" Id="rId75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1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2022-04-17T11:07:31Z</dcterms:created>
  <dcterms:modified xsi:type="dcterms:W3CDTF">2022-04-17T11:07:31Z</dcterms:modified>
</cp:coreProperties>
</file>