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  <w:r>
        <w:br w:type="textWrapping"/>
      </w:r>
      <w:r>
        <w:t xml:space="preserve"># 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2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Cambios alimentarios y de estilo de vida como estrategia en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prevención del síndrome metabólico y la diabetes mellitus tipo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perspectivas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39" w:name="nomenclaturas"/>
      <w:bookmarkEnd w:id="39"/>
      <w:r>
        <w:t xml:space="preserve">Nomenclaturas</w:t>
      </w:r>
    </w:p>
    <w:p>
      <w:pPr>
        <w:pStyle w:val="FirstParagraph"/>
      </w:pPr>
      <w:r>
        <w:t xml:space="preserve">IDF: Inernational Diabetes Federation ATP: Adult Treatment Panel</w:t>
      </w:r>
      <w:r>
        <w:t xml:space="preserve"> </w:t>
      </w:r>
      <w:r>
        <w:t xml:space="preserve">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9e23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f981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scielo.isciii.es/scielo.php?script=sci_arttext&amp;pid=S1137-66272016000200009" TargetMode="External" /><Relationship Type="http://schemas.openxmlformats.org/officeDocument/2006/relationships/hyperlink" Id="rId32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3" Target="https://www.mayoclinic.org/es-es/diseases-conditions/metabolic-syndrome/diagnosis-treatment/drc-20351921" TargetMode="External" /><Relationship Type="http://schemas.openxmlformats.org/officeDocument/2006/relationships/hyperlink" Id="rId34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scielo.isciii.es/scielo.php?script=sci_arttext&amp;pid=S1137-66272016000200009" TargetMode="External" /><Relationship Type="http://schemas.openxmlformats.org/officeDocument/2006/relationships/hyperlink" Id="rId32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3" Target="https://www.mayoclinic.org/es-es/diseases-conditions/metabolic-syndrome/diagnosis-treatment/drc-20351921" TargetMode="External" /><Relationship Type="http://schemas.openxmlformats.org/officeDocument/2006/relationships/hyperlink" Id="rId34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2022-01-16T22:05:01Z</dcterms:created>
  <dcterms:modified xsi:type="dcterms:W3CDTF">2022-01-16T22:05:01Z</dcterms:modified>
</cp:coreProperties>
</file>