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8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0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0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0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.-perímetro-de-cintura-elevado."/>
      <w:bookmarkEnd w:id="37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1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1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2"/>
          <w:ilvl w:val="1"/>
        </w:numPr>
      </w:pPr>
      <w:r>
        <w:t xml:space="preserve">Grasa subcutánea</w:t>
      </w:r>
    </w:p>
    <w:p>
      <w:pPr>
        <w:pStyle w:val="Compact"/>
        <w:numPr>
          <w:numId w:val="1012"/>
          <w:ilvl w:val="1"/>
        </w:numPr>
      </w:pPr>
      <w:r>
        <w:t xml:space="preserve">Grasa interna</w:t>
      </w:r>
    </w:p>
    <w:p>
      <w:pPr>
        <w:pStyle w:val="Compact"/>
        <w:numPr>
          <w:numId w:val="1013"/>
          <w:ilvl w:val="2"/>
        </w:numPr>
      </w:pPr>
      <w:r>
        <w:t xml:space="preserve">Visceral</w:t>
      </w:r>
    </w:p>
    <w:p>
      <w:pPr>
        <w:pStyle w:val="Compact"/>
        <w:numPr>
          <w:numId w:val="1013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4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4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4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4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4"/>
          <w:ilvl w:val="0"/>
        </w:numPr>
      </w:pPr>
      <w:r>
        <w:t xml:space="preserve">Eleva la presión arterial.</w:t>
      </w:r>
    </w:p>
    <w:p>
      <w:pPr>
        <w:pStyle w:val="Compact"/>
        <w:numPr>
          <w:numId w:val="1014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5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5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5"/>
          <w:ilvl w:val="0"/>
        </w:numPr>
      </w:pPr>
      <w:r>
        <w:t xml:space="preserve">Dislipidemias.</w:t>
      </w:r>
    </w:p>
    <w:p>
      <w:pPr>
        <w:pStyle w:val="Compact"/>
        <w:numPr>
          <w:numId w:val="1015"/>
          <w:ilvl w:val="0"/>
        </w:numPr>
      </w:pPr>
      <w:r>
        <w:t xml:space="preserve">Hipertensión arterial.</w:t>
      </w:r>
    </w:p>
    <w:p>
      <w:pPr>
        <w:pStyle w:val="Compact"/>
        <w:numPr>
          <w:numId w:val="1015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86.363636363636"/>
        <w:tblLook w:firstRow="1"/>
      </w:tblPr>
      <w:tblGrid>
        <w:gridCol w:w="621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 y es</w:t>
      </w:r>
      <w:r>
        <w:t xml:space="preserve"> </w:t>
      </w:r>
      <w:r>
        <w:t xml:space="preserve">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9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9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20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0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las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3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3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4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4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4"/>
          <w:ilvl w:val="0"/>
        </w:numPr>
      </w:pPr>
      <w:r>
        <w:t xml:space="preserve">Disbetalipoproteinemia</w:t>
      </w:r>
    </w:p>
    <w:p>
      <w:pPr>
        <w:pStyle w:val="Compact"/>
        <w:numPr>
          <w:numId w:val="1024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b/>
        </w:rP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5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5"/>
          <w:ilvl w:val="0"/>
        </w:numPr>
      </w:pPr>
      <w:r>
        <w:t xml:space="preserve">Enfermedad renal</w:t>
      </w:r>
    </w:p>
    <w:p>
      <w:pPr>
        <w:pStyle w:val="Compact"/>
        <w:numPr>
          <w:numId w:val="1025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5"/>
          <w:ilvl w:val="0"/>
        </w:numPr>
      </w:pPr>
      <w:r>
        <w:t xml:space="preserve">Problemas de tiroides</w:t>
      </w:r>
    </w:p>
    <w:p>
      <w:pPr>
        <w:pStyle w:val="Compact"/>
        <w:numPr>
          <w:numId w:val="1025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5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5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6"/>
          <w:ilvl w:val="0"/>
        </w:numPr>
      </w:pPr>
      <w:r>
        <w:t xml:space="preserve">Cáncer colorrectal</w:t>
      </w:r>
    </w:p>
    <w:p>
      <w:pPr>
        <w:pStyle w:val="Compact"/>
        <w:numPr>
          <w:numId w:val="1026"/>
          <w:ilvl w:val="0"/>
        </w:numPr>
      </w:pPr>
      <w:r>
        <w:t xml:space="preserve">Cáncer de mama</w:t>
      </w:r>
    </w:p>
    <w:p>
      <w:pPr>
        <w:pStyle w:val="Compact"/>
        <w:numPr>
          <w:numId w:val="1026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7"/>
          <w:ilvl w:val="0"/>
        </w:numPr>
      </w:pPr>
      <w:r>
        <w:t xml:space="preserve">Esteatosis hepática,</w:t>
      </w:r>
    </w:p>
    <w:p>
      <w:pPr>
        <w:pStyle w:val="Compact"/>
        <w:numPr>
          <w:numId w:val="1027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7"/>
          <w:ilvl w:val="0"/>
        </w:numPr>
      </w:pPr>
      <w:r>
        <w:t xml:space="preserve">Enfermedad renal crónica,</w:t>
      </w:r>
    </w:p>
    <w:p>
      <w:pPr>
        <w:pStyle w:val="Compact"/>
        <w:numPr>
          <w:numId w:val="1027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7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SM en la 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8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8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8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9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9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9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0"/>
          <w:ilvl w:val="0"/>
        </w:numPr>
      </w:pPr>
      <w:r>
        <w:t xml:space="preserve">Un mayor estrés oxidativo.</w:t>
      </w:r>
    </w:p>
    <w:p>
      <w:pPr>
        <w:pStyle w:val="Compact"/>
        <w:numPr>
          <w:numId w:val="1030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0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0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3" w:name="creación-empresa"/>
      <w:bookmarkEnd w:id="53"/>
      <w:r>
        <w:t xml:space="preserve">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54" w:name="pasos-para-montar-la-empresa"/>
      <w:bookmarkEnd w:id="54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55" w:name="plan-dafo"/>
      <w:bookmarkEnd w:id="55"/>
      <w:r>
        <w:t xml:space="preserve">Plan DAFO</w:t>
      </w:r>
    </w:p>
    <w:p>
      <w:pPr>
        <w:pStyle w:val="Heading4"/>
      </w:pPr>
      <w:bookmarkStart w:id="56" w:name="debilidades"/>
      <w:bookmarkEnd w:id="56"/>
      <w:r>
        <w:t xml:space="preserve">Debilidades</w:t>
      </w:r>
    </w:p>
    <w:p>
      <w:pPr>
        <w:pStyle w:val="Compact"/>
        <w:numPr>
          <w:numId w:val="1034"/>
          <w:ilvl w:val="0"/>
        </w:numPr>
      </w:pPr>
      <w:r>
        <w:t xml:space="preserve">Empresa desconocida.</w:t>
      </w:r>
    </w:p>
    <w:p>
      <w:pPr>
        <w:pStyle w:val="Compact"/>
        <w:numPr>
          <w:numId w:val="1034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35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35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35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57" w:name="amenazas"/>
      <w:bookmarkEnd w:id="57"/>
      <w:r>
        <w:t xml:space="preserve">Amenazas</w:t>
      </w:r>
    </w:p>
    <w:p>
      <w:pPr>
        <w:pStyle w:val="Compact"/>
        <w:numPr>
          <w:numId w:val="1036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36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36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37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37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37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58" w:name="fortalezas"/>
      <w:bookmarkEnd w:id="58"/>
      <w:r>
        <w:t xml:space="preserve">Fortalezas</w:t>
      </w:r>
    </w:p>
    <w:p>
      <w:pPr>
        <w:pStyle w:val="Compact"/>
        <w:numPr>
          <w:numId w:val="1038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38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38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38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38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38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38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39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39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59" w:name="oportunidades"/>
      <w:bookmarkEnd w:id="59"/>
      <w:r>
        <w:t xml:space="preserve">Oportunidades</w:t>
      </w:r>
    </w:p>
    <w:p>
      <w:pPr>
        <w:pStyle w:val="Compact"/>
        <w:numPr>
          <w:numId w:val="1040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40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41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0" w:name="plan-de-marketing"/>
      <w:bookmarkEnd w:id="60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1" w:name="plan-financiero"/>
      <w:bookmarkEnd w:id="61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2" w:name="plan-gastos-y-beneficios-de-la-empresa"/>
      <w:bookmarkEnd w:id="62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Heading3"/>
      </w:pPr>
      <w:bookmarkStart w:id="63" w:name="papeles-oficiales-para-gestionar-la-empresa-alta-en-la-seguridad-social-iae-licencia-del-ayuntamiento-para-la-apertura-etc."/>
      <w:bookmarkEnd w:id="63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2"/>
      </w:pPr>
      <w:bookmarkStart w:id="64" w:name="paciente"/>
      <w:bookmarkEnd w:id="64"/>
      <w:r>
        <w:t xml:space="preserve">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(mayor o igual de 88 es de riesgo para enfermedades cardiovasculares</w:t>
      </w:r>
      <w:r>
        <w:t xml:space="preserve"> </w:t>
      </w:r>
      <w:r>
        <w:t xml:space="preserve">y diabetes según criterio de la OMS). Perímetro de cadera 110 cm,</w:t>
      </w:r>
      <w:r>
        <w:t xml:space="preserve"> </w:t>
      </w:r>
      <w:r>
        <w:t xml:space="preserve">perímetro de pantorrilla 39,5 cm, perímetro de muslo 57cm y perímetro de</w:t>
      </w:r>
      <w:r>
        <w:t xml:space="preserve"> </w:t>
      </w:r>
      <w:r>
        <w:t xml:space="preserve">muñeca 16.5 cm. (157 /16,5 =9,8), se trata por tanto de una mujer de</w:t>
      </w:r>
      <w:r>
        <w:t xml:space="preserve"> </w:t>
      </w:r>
      <w:r>
        <w:t xml:space="preserve">complexión mediana.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hipercolesterolemia, hipertensión, obesidad grado I, lo que conlleva 4</w:t>
      </w:r>
      <w:r>
        <w:t xml:space="preserve"> </w:t>
      </w:r>
      <w:r>
        <w:t xml:space="preserve">de las 5 características que conforman el síndrome metabólico.</w:t>
      </w:r>
    </w:p>
    <w:p>
      <w:pPr>
        <w:pStyle w:val="BodyText"/>
      </w:pPr>
      <w:r>
        <w:t xml:space="preserve">Está realizando tratamiento hipolipemiante para control de colesterol e</w:t>
      </w:r>
      <w:r>
        <w:t xml:space="preserve"> </w:t>
      </w:r>
      <w:r>
        <w:t xml:space="preserve">hipoglucemiante oral por indicación de su médico de cabecera.</w:t>
      </w:r>
    </w:p>
    <w:p>
      <w:pPr>
        <w:numPr>
          <w:numId w:val="1042"/>
          <w:ilvl w:val="0"/>
        </w:numPr>
      </w:pPr>
      <w:r>
        <w:t xml:space="preserve">Atorvastatina 40 mg 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42"/>
          <w:ilvl w:val="0"/>
        </w:numPr>
      </w:pPr>
      <w:r>
        <w:t xml:space="preserve">Metformina 850 mg 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</w:p>
    <w:p>
      <w:pPr>
        <w:pStyle w:val="BodyText"/>
      </w:pPr>
      <w:r>
        <w:t xml:space="preserve">Refiere enfermedad coronaria precoz en 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II.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alcoholes de vino o cerveza ligados a comidas familiares o</w:t>
      </w:r>
      <w:r>
        <w:t xml:space="preserve"> </w:t>
      </w:r>
      <w:r>
        <w:t xml:space="preserve">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permite.</w:t>
      </w:r>
    </w:p>
    <w:p>
      <w:pPr>
        <w:pStyle w:val="Heading3"/>
      </w:pPr>
      <w:bookmarkStart w:id="65" w:name="objetivos-1"/>
      <w:bookmarkEnd w:id="65"/>
      <w:r>
        <w:t xml:space="preserve">Objetivos</w:t>
      </w:r>
    </w:p>
    <w:p>
      <w:pPr>
        <w:pStyle w:val="FirstParagraph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  <w:r>
        <w:t xml:space="preserve">El cálculo de gasto de energía del metabolismo basal en reposo lo</w:t>
      </w:r>
      <w:r>
        <w:t xml:space="preserve"> </w:t>
      </w:r>
      <w:r>
        <w:t xml:space="preserve">realizo por la fórmula de Harris y Benedict dando un resultado de una</w:t>
      </w:r>
      <w:r>
        <w:t xml:space="preserve"> </w:t>
      </w:r>
      <w:r>
        <w:t xml:space="preserve">TMR de 1210 kcal.</w:t>
      </w:r>
    </w:p>
    <w:p>
      <w:pPr>
        <w:pStyle w:val="BodyText"/>
      </w:pPr>
      <w:r>
        <w:t xml:space="preserve">La energía del trabajo es de 363 kcal., el 30% del MB que corresponde</w:t>
      </w:r>
      <w:r>
        <w:t xml:space="preserve"> </w:t>
      </w:r>
      <w:r>
        <w:t xml:space="preserve">con una actividad ligera. Mientras que la energía de la termogénesis o</w:t>
      </w:r>
      <w:r>
        <w:t xml:space="preserve"> </w:t>
      </w:r>
      <w:r>
        <w:t xml:space="preserve">ADE es de 121 kcal que corresponde al 10% del metabolismo basal.</w:t>
      </w:r>
    </w:p>
    <w:p>
      <w:pPr>
        <w:pStyle w:val="BodyText"/>
      </w:pPr>
      <w:r>
        <w:t xml:space="preserve">Así tendremos una paciente con un gasto energético total de 1694 kcal.</w:t>
      </w:r>
    </w:p>
    <w:p>
      <w:pPr>
        <w:pStyle w:val="BodyText"/>
      </w:pPr>
      <w:r>
        <w:t xml:space="preserve">Para el cálculo de proteínas que voy a darle utilizo un índice de masa</w:t>
      </w:r>
      <w:r>
        <w:t xml:space="preserve"> </w:t>
      </w:r>
      <w:r>
        <w:t xml:space="preserve">corporal de 29, inferior al de 33 que es el que tiene, lo que da como</w:t>
      </w:r>
      <w:r>
        <w:t xml:space="preserve"> </w:t>
      </w:r>
      <w:r>
        <w:t xml:space="preserve">resultado un “peso ideal” de 71,5 kg. La cantidad de proteína que le</w:t>
      </w:r>
      <w:r>
        <w:t xml:space="preserve"> </w:t>
      </w:r>
      <w:r>
        <w:t xml:space="preserve">daré será de n 1,2 gr por kg y día (supondrá un total de ....) para</w:t>
      </w:r>
      <w:r>
        <w:t xml:space="preserve"> </w:t>
      </w:r>
      <w:r>
        <w:t xml:space="preserve">saciarla y que ayude a la formación de masa muscular.</w:t>
      </w:r>
    </w:p>
    <w:p>
      <w:pPr>
        <w:pStyle w:val="BodyText"/>
      </w:pPr>
      <w:r>
        <w:t xml:space="preserve">Para el cálculo de los lípidos tomaré como porcentaje el 25% del total</w:t>
      </w:r>
      <w:r>
        <w:t xml:space="preserve"> </w:t>
      </w:r>
      <w:r>
        <w:t xml:space="preserve">de la dieta a ingerir debido a que estamos ante un paciente con</w:t>
      </w:r>
      <w:r>
        <w:t xml:space="preserve"> </w:t>
      </w:r>
      <w:r>
        <w:t xml:space="preserve">patologías lipídicas.</w:t>
      </w:r>
    </w:p>
    <w:p>
      <w:pPr>
        <w:pStyle w:val="BodyText"/>
      </w:pPr>
    </w:p>
    <w:p>
      <w:pPr>
        <w:pStyle w:val="Heading1"/>
      </w:pPr>
      <w:bookmarkStart w:id="66" w:name="resultados"/>
      <w:bookmarkEnd w:id="66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</w:p>
    <w:p>
      <w:pPr>
        <w:pStyle w:val="Heading1"/>
      </w:pPr>
      <w:bookmarkStart w:id="67" w:name="discusión"/>
      <w:bookmarkEnd w:id="67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Se ha demostrado que la prevalencia del SM varía de acuerdo a la guía</w:t>
      </w:r>
      <w:r>
        <w:t xml:space="preserve"> </w:t>
      </w:r>
      <w:r>
        <w:t xml:space="preserve">que se utilice, en consecuencia, no se llega a conocer la real magnitud</w:t>
      </w:r>
      <w:r>
        <w:t xml:space="preserve"> </w:t>
      </w:r>
      <w:r>
        <w:t xml:space="preserve">del problema. Por ejemplo, la concepción original de Reaven considera a</w:t>
      </w:r>
      <w:r>
        <w:t xml:space="preserve"> </w:t>
      </w:r>
      <w:r>
        <w:t xml:space="preserve">la RI como el factor inicial y fundamental del denominado síndrome X;</w:t>
      </w:r>
      <w:r>
        <w:t xml:space="preserve"> </w:t>
      </w:r>
      <w:r>
        <w:t xml:space="preserve">sin embargo, sólo la OMS y el grupo de estudio EGIR lo toman en cuenta.</w:t>
      </w:r>
      <w:r>
        <w:t xml:space="preserve"> </w:t>
      </w: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43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43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43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43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68" w:name="conclusión"/>
      <w:bookmarkEnd w:id="68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origina principalmente por un desequilibrio en la ingesta de calorías y</w:t>
      </w:r>
      <w:r>
        <w:t xml:space="preserve"> </w:t>
      </w:r>
      <w:r>
        <w:t xml:space="preserve">el gasto energético, pero también se ve afectado por la composición</w:t>
      </w:r>
      <w:r>
        <w:t xml:space="preserve"> </w:t>
      </w:r>
      <w:r>
        <w:t xml:space="preserve">genética/epigenética del individuo, el predominio del estilo de vida</w:t>
      </w:r>
      <w:r>
        <w:t xml:space="preserve"> </w:t>
      </w:r>
      <w:r>
        <w:t xml:space="preserve">sedentario sobre la actividad física y otros factores como la microbiota</w:t>
      </w:r>
      <w:r>
        <w:t xml:space="preserve"> </w:t>
      </w:r>
      <w:r>
        <w:t xml:space="preserve">intestinal y la calidad y composición de los alimentos. No se puede</w:t>
      </w:r>
      <w:r>
        <w:t xml:space="preserve"> </w:t>
      </w:r>
      <w:r>
        <w:t xml:space="preserve">prescribir un solo remedio para su erradicación o incluso su reducción.</w:t>
      </w:r>
      <w:r>
        <w:t xml:space="preserve"> </w:t>
      </w:r>
      <w:r>
        <w:t xml:space="preserve">Al igual que en el control de otras epidemias, será muy importante la</w:t>
      </w:r>
      <w:r>
        <w:t xml:space="preserve"> </w:t>
      </w:r>
      <w:r>
        <w:t xml:space="preserve">educación de la población sobre el peligro para la salud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 Por lo tanto, en los</w:t>
      </w:r>
      <w:r>
        <w:t xml:space="preserve"> </w:t>
      </w:r>
      <w:r>
        <w:t xml:space="preserve">países pobres el riesgo de desarrollar obesidad es menor que el de</w:t>
      </w:r>
      <w:r>
        <w:t xml:space="preserve"> </w:t>
      </w:r>
      <w:r>
        <w:t xml:space="preserve">padecer desnutrición. Es decir, que una persona pobre en un país pobre</w:t>
      </w:r>
      <w:r>
        <w:t xml:space="preserve"> </w:t>
      </w:r>
      <w:r>
        <w:t xml:space="preserve">sufre escasez de alimentos sumado a un incremento en el gasto energético</w:t>
      </w:r>
      <w:r>
        <w:t xml:space="preserve"> </w:t>
      </w:r>
      <w:r>
        <w:t xml:space="preserve">relacionado con el trabajo manual; en cambio, una persona pobre en un</w:t>
      </w:r>
      <w:r>
        <w:t xml:space="preserve"> </w:t>
      </w:r>
      <w:r>
        <w:t xml:space="preserve">país de ingresos medios se expone a una abundancia de alimentos de mala</w:t>
      </w:r>
      <w:r>
        <w:t xml:space="preserve"> </w:t>
      </w:r>
      <w:r>
        <w:t xml:space="preserve">calidad 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 En contraste, los individuos de mayores ingresos</w:t>
      </w:r>
      <w:r>
        <w:t xml:space="preserve"> </w:t>
      </w:r>
      <w:r>
        <w:t xml:space="preserve">económicos que habitan en países de ingresos medios tienen mejor</w:t>
      </w:r>
      <w:r>
        <w:t xml:space="preserve"> </w:t>
      </w:r>
      <w:r>
        <w:t xml:space="preserve">educación, cobertura de salud, mayor acceso a alimentos de mejor calidad</w:t>
      </w:r>
      <w:r>
        <w:t xml:space="preserve"> </w:t>
      </w:r>
      <w:r>
        <w:t xml:space="preserve">y más tiempo libre para dedicarle a la actividad física. Por ello son en</w:t>
      </w:r>
      <w:r>
        <w:t xml:space="preserve"> </w:t>
      </w:r>
      <w:r>
        <w:t xml:space="preserve">promedio más delgados y metabólicamente más sanos.</w:t>
      </w:r>
    </w:p>
    <w:p>
      <w:pPr>
        <w:pStyle w:val="BodyText"/>
      </w:pPr>
      <w:r>
        <w:t xml:space="preserve">Los factores de riesgo (a excepción del tabaquismo) era más elevado en</w:t>
      </w:r>
      <w:r>
        <w:t xml:space="preserve"> </w:t>
      </w:r>
      <w:r>
        <w:t xml:space="preserve">aquellas personas con menores ingresos económicos y en los que tenían un</w:t>
      </w:r>
      <w:r>
        <w:t xml:space="preserve"> </w:t>
      </w:r>
      <w:r>
        <w:t xml:space="preserve">nivel educativo más bajo.</w:t>
      </w:r>
    </w:p>
    <w:p>
      <w:pPr>
        <w:pStyle w:val="BodyText"/>
      </w:pPr>
      <w:r>
        <w:t xml:space="preserve">Durante las últimas décadas, la sociedad ha experimentado cambios</w:t>
      </w:r>
      <w:r>
        <w:t xml:space="preserve"> </w:t>
      </w:r>
      <w:r>
        <w:t xml:space="preserve">drásticos que han afectado al comportamiento y estilo de vida del ser</w:t>
      </w:r>
      <w:r>
        <w:t xml:space="preserve"> </w:t>
      </w:r>
      <w:r>
        <w:t xml:space="preserve">humano. La mecanización en los puestos de trabajo, la globalización de</w:t>
      </w:r>
      <w:r>
        <w:t xml:space="preserve"> </w:t>
      </w:r>
      <w:r>
        <w:t xml:space="preserve">la tecnología, la falta de tiempo y las mejoras en el transporte, son</w:t>
      </w:r>
      <w:r>
        <w:t xml:space="preserve"> </w:t>
      </w:r>
      <w:r>
        <w:t xml:space="preserve">algunos de los aspectos que han llevado a un aumento en el consumo de</w:t>
      </w:r>
      <w:r>
        <w:t xml:space="preserve"> </w:t>
      </w:r>
      <w:r>
        <w:t xml:space="preserve">comida rápida con un elevado aporte calórico y al sedentarismo. Estas</w:t>
      </w:r>
      <w:r>
        <w:t xml:space="preserve"> </w:t>
      </w:r>
      <w:r>
        <w:t xml:space="preserve">circunstancias y coyunturas, han contribuido enormemente a que la</w:t>
      </w:r>
      <w:r>
        <w:t xml:space="preserve"> </w:t>
      </w:r>
      <w:r>
        <w:t xml:space="preserve">obesidad sea considerada una pandemia. Este hecho no solo es un problema</w:t>
      </w:r>
      <w:r>
        <w:t xml:space="preserve"> </w:t>
      </w:r>
      <w:r>
        <w:t xml:space="preserve">de los países industrializados, sino que también la obesidad va</w:t>
      </w:r>
      <w:r>
        <w:t xml:space="preserve"> </w:t>
      </w:r>
      <w:r>
        <w:t xml:space="preserve">aumentando notablemente en los países en transición, ya que estos países</w:t>
      </w:r>
      <w:r>
        <w:t xml:space="preserve"> </w:t>
      </w:r>
      <w:r>
        <w:t xml:space="preserve">están adquiriendo estilos de vida cada vez más parecidos a los</w:t>
      </w:r>
      <w:r>
        <w:t xml:space="preserve"> </w:t>
      </w:r>
      <w:r>
        <w:t xml:space="preserve">occidentales, disminuyendo la actividad física y teniendo un consumo</w:t>
      </w:r>
      <w:r>
        <w:t xml:space="preserve"> </w:t>
      </w:r>
      <w:r>
        <w:t xml:space="preserve">elevado de alimentos con alta densidad energética1.</w:t>
      </w:r>
    </w:p>
    <w:p>
      <w:pPr>
        <w:pStyle w:val="BodyText"/>
      </w:pPr>
    </w:p>
    <w:p>
      <w:pPr>
        <w:pStyle w:val="Heading1"/>
      </w:pPr>
      <w:bookmarkStart w:id="69" w:name="bibliografía"/>
      <w:bookmarkEnd w:id="69"/>
      <w:r>
        <w:t xml:space="preserve">Bibliografía</w:t>
      </w:r>
    </w:p>
    <w:p>
      <w:pPr>
        <w:pStyle w:val="Compact"/>
        <w:numPr>
          <w:numId w:val="1044"/>
          <w:ilvl w:val="0"/>
        </w:numPr>
      </w:pPr>
      <w:hyperlink r:id="rId70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44"/>
          <w:ilvl w:val="0"/>
        </w:numPr>
      </w:pPr>
      <w:hyperlink r:id="rId71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44"/>
          <w:ilvl w:val="0"/>
        </w:numPr>
      </w:pPr>
      <w:hyperlink r:id="rId72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44"/>
          <w:ilvl w:val="0"/>
        </w:numPr>
      </w:pPr>
      <w:hyperlink r:id="rId73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44"/>
          <w:ilvl w:val="0"/>
        </w:numPr>
      </w:pPr>
      <w:hyperlink r:id="rId7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44"/>
          <w:ilvl w:val="0"/>
        </w:numPr>
      </w:pPr>
      <w:hyperlink r:id="rId75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44"/>
          <w:ilvl w:val="0"/>
        </w:numPr>
      </w:pPr>
      <w:hyperlink r:id="rId7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44"/>
          <w:ilvl w:val="0"/>
        </w:numPr>
      </w:pPr>
      <w:hyperlink r:id="rId77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45"/>
          <w:ilvl w:val="0"/>
        </w:numPr>
      </w:pPr>
      <w:hyperlink r:id="rId78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45"/>
          <w:ilvl w:val="0"/>
        </w:numPr>
      </w:pPr>
      <w:hyperlink r:id="rId79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45"/>
          <w:ilvl w:val="0"/>
        </w:numPr>
      </w:pPr>
      <w:hyperlink r:id="rId80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45"/>
          <w:ilvl w:val="0"/>
        </w:numPr>
      </w:pPr>
      <w:hyperlink r:id="rId8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45"/>
          <w:ilvl w:val="0"/>
        </w:numPr>
      </w:pPr>
      <w:hyperlink r:id="rId82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45"/>
          <w:ilvl w:val="0"/>
        </w:numPr>
      </w:pPr>
      <w:hyperlink r:id="rId83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45"/>
          <w:ilvl w:val="0"/>
        </w:numPr>
      </w:pPr>
      <w:hyperlink r:id="rId84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45"/>
          <w:ilvl w:val="0"/>
        </w:numPr>
      </w:pPr>
      <w:hyperlink r:id="rId85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45"/>
          <w:ilvl w:val="0"/>
        </w:numPr>
      </w:pPr>
      <w:hyperlink r:id="rId86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45"/>
          <w:ilvl w:val="0"/>
        </w:numPr>
      </w:pPr>
      <w:hyperlink r:id="rId87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45"/>
          <w:ilvl w:val="0"/>
        </w:numPr>
      </w:pPr>
      <w:hyperlink r:id="rId8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45"/>
          <w:ilvl w:val="0"/>
        </w:numPr>
      </w:pPr>
      <w:hyperlink r:id="rId89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45"/>
          <w:ilvl w:val="0"/>
        </w:numPr>
      </w:pPr>
      <w:hyperlink r:id="rId90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45"/>
          <w:ilvl w:val="0"/>
        </w:numPr>
      </w:pPr>
      <w:hyperlink r:id="rId91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45"/>
          <w:ilvl w:val="0"/>
        </w:numPr>
      </w:pPr>
      <w:hyperlink r:id="rId92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93" w:name="anexos"/>
      <w:bookmarkEnd w:id="93"/>
      <w:r>
        <w:t xml:space="preserve">Anexos</w:t>
      </w:r>
    </w:p>
    <w:p>
      <w:pPr>
        <w:pStyle w:val="Heading2"/>
      </w:pPr>
      <w:bookmarkStart w:id="94" w:name="vocabulario"/>
      <w:bookmarkEnd w:id="94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95" w:name="abreviaturas"/>
      <w:bookmarkEnd w:id="95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760c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02e686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cbd65f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" TargetMode="External" /><Relationship Type="http://schemas.openxmlformats.org/officeDocument/2006/relationships/hyperlink" Id="rId80" Target="http://dspace.utalca.cl/handle/1950/4714" TargetMode="External" /><Relationship Type="http://schemas.openxmlformats.org/officeDocument/2006/relationships/hyperlink" Id="rId74" Target="http://hdl.handle.net/2183/16548" TargetMode="External" /><Relationship Type="http://schemas.openxmlformats.org/officeDocument/2006/relationships/hyperlink" Id="rId76" Target="http://scielo.isciii.es/scielo.php?script=sci_arttext&amp;pid=S0212-16112017000500013&amp;lng=es&amp;nrm=iso" TargetMode="External" /><Relationship Type="http://schemas.openxmlformats.org/officeDocument/2006/relationships/hyperlink" Id="rId72" Target="http://scielo.isciii.es/scielo.php?script=sci_arttext&amp;pid=S1137-66272016000200009&amp;lng=es&amp;nrm=iso" TargetMode="External" /><Relationship Type="http://schemas.openxmlformats.org/officeDocument/2006/relationships/hyperlink" Id="rId70" Target="http://scielo.sld.cu/scielo.php?script=sci_arttext&amp;pid=S1561-29532006000300006" TargetMode="External" /><Relationship Type="http://schemas.openxmlformats.org/officeDocument/2006/relationships/hyperlink" Id="rId75" Target="http://ve.scielo.org/scielo.php?script=sci_arttext&amp;pid=S0048-77322011000200002&amp;lng=es&amp;nrm=iso" TargetMode="External" /><Relationship Type="http://schemas.openxmlformats.org/officeDocument/2006/relationships/hyperlink" Id="rId73" Target="http://ve.scielo.org/scielo.php?script=sci_arttext&amp;pid=S0798-07522007000200006" TargetMode="External" /><Relationship Type="http://schemas.openxmlformats.org/officeDocument/2006/relationships/hyperlink" Id="rId87" Target="http://www.scielo.org.pe/scielo.php?script=sci_arttext&amp;pid=S1025-55832020000100092&amp;lng=es" TargetMode="External" /><Relationship Type="http://schemas.openxmlformats.org/officeDocument/2006/relationships/hyperlink" Id="rId79" Target="https://doi.org/10.1373/clinchem.2005.048611" TargetMode="External" /><Relationship Type="http://schemas.openxmlformats.org/officeDocument/2006/relationships/hyperlink" Id="rId82" Target="https://isanidad.com/67663/la-falta-de-sueno-puede-disminuir-el-colesterol-bueno/" TargetMode="External" /><Relationship Type="http://schemas.openxmlformats.org/officeDocument/2006/relationships/hyperlink" Id="rId84" Target="https://middlesexhealth.org/learning-center/espanol/enfermedades-y-afecciones/s-ndrome-metab-lico" TargetMode="External" /><Relationship Type="http://schemas.openxmlformats.org/officeDocument/2006/relationships/hyperlink" Id="rId81" Target="https://ruc.udc.es/dspace/handle/2183/16548" TargetMode="External" /><Relationship Type="http://schemas.openxmlformats.org/officeDocument/2006/relationships/hyperlink" Id="rId88" Target="https://scielo.isciii.es/scielo.php?script=sci_arttext&amp;pid=S0212-16112017000500013" TargetMode="External" /><Relationship Type="http://schemas.openxmlformats.org/officeDocument/2006/relationships/hyperlink" Id="rId91" Target="https://scielo.isciii.es/scielo.php?script=sci_arttext&amp;pid=S0212-71992008000700003" TargetMode="External" /><Relationship Type="http://schemas.openxmlformats.org/officeDocument/2006/relationships/hyperlink" Id="rId83" Target="https://www.cun.es/enfermedades-tratamientos/enfermedades/sindrome-metabolico" TargetMode="External" /><Relationship Type="http://schemas.openxmlformats.org/officeDocument/2006/relationships/hyperlink" Id="rId9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2" Target="https://www.flasog.org/static/academica/Sindrome-Metabolico.pdf" TargetMode="External" /><Relationship Type="http://schemas.openxmlformats.org/officeDocument/2006/relationships/hyperlink" Id="rId85" Target="https://www.mayoclinic.org/es-es/diseases-conditions/metabolic-syndrome/diagnosis-treatment/drc-20351921" TargetMode="External" /><Relationship Type="http://schemas.openxmlformats.org/officeDocument/2006/relationships/hyperlink" Id="rId86" Target="https://www.mayoclinic.org/es-es/diseases-conditions/metabolic-syndrome/symptoms-causes/syc-20351916" TargetMode="External" /><Relationship Type="http://schemas.openxmlformats.org/officeDocument/2006/relationships/hyperlink" Id="rId89" Target="https://www.pediatriaintegral.es/publicacion-2015-07/sindrome-metabolico/" TargetMode="External" /><Relationship Type="http://schemas.openxmlformats.org/officeDocument/2006/relationships/hyperlink" Id="rId7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7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80" Target="http://dspace.utalca.cl/handle/1950/4714" TargetMode="External" /><Relationship Type="http://schemas.openxmlformats.org/officeDocument/2006/relationships/hyperlink" Id="rId74" Target="http://hdl.handle.net/2183/16548" TargetMode="External" /><Relationship Type="http://schemas.openxmlformats.org/officeDocument/2006/relationships/hyperlink" Id="rId76" Target="http://scielo.isciii.es/scielo.php?script=sci_arttext&amp;pid=S0212-16112017000500013&amp;lng=es&amp;nrm=iso" TargetMode="External" /><Relationship Type="http://schemas.openxmlformats.org/officeDocument/2006/relationships/hyperlink" Id="rId72" Target="http://scielo.isciii.es/scielo.php?script=sci_arttext&amp;pid=S1137-66272016000200009&amp;lng=es&amp;nrm=iso" TargetMode="External" /><Relationship Type="http://schemas.openxmlformats.org/officeDocument/2006/relationships/hyperlink" Id="rId70" Target="http://scielo.sld.cu/scielo.php?script=sci_arttext&amp;pid=S1561-29532006000300006" TargetMode="External" /><Relationship Type="http://schemas.openxmlformats.org/officeDocument/2006/relationships/hyperlink" Id="rId75" Target="http://ve.scielo.org/scielo.php?script=sci_arttext&amp;pid=S0048-77322011000200002&amp;lng=es&amp;nrm=iso" TargetMode="External" /><Relationship Type="http://schemas.openxmlformats.org/officeDocument/2006/relationships/hyperlink" Id="rId73" Target="http://ve.scielo.org/scielo.php?script=sci_arttext&amp;pid=S0798-07522007000200006" TargetMode="External" /><Relationship Type="http://schemas.openxmlformats.org/officeDocument/2006/relationships/hyperlink" Id="rId87" Target="http://www.scielo.org.pe/scielo.php?script=sci_arttext&amp;pid=S1025-55832020000100092&amp;lng=es" TargetMode="External" /><Relationship Type="http://schemas.openxmlformats.org/officeDocument/2006/relationships/hyperlink" Id="rId79" Target="https://doi.org/10.1373/clinchem.2005.048611" TargetMode="External" /><Relationship Type="http://schemas.openxmlformats.org/officeDocument/2006/relationships/hyperlink" Id="rId82" Target="https://isanidad.com/67663/la-falta-de-sueno-puede-disminuir-el-colesterol-bueno/" TargetMode="External" /><Relationship Type="http://schemas.openxmlformats.org/officeDocument/2006/relationships/hyperlink" Id="rId84" Target="https://middlesexhealth.org/learning-center/espanol/enfermedades-y-afecciones/s-ndrome-metab-lico" TargetMode="External" /><Relationship Type="http://schemas.openxmlformats.org/officeDocument/2006/relationships/hyperlink" Id="rId81" Target="https://ruc.udc.es/dspace/handle/2183/16548" TargetMode="External" /><Relationship Type="http://schemas.openxmlformats.org/officeDocument/2006/relationships/hyperlink" Id="rId88" Target="https://scielo.isciii.es/scielo.php?script=sci_arttext&amp;pid=S0212-16112017000500013" TargetMode="External" /><Relationship Type="http://schemas.openxmlformats.org/officeDocument/2006/relationships/hyperlink" Id="rId91" Target="https://scielo.isciii.es/scielo.php?script=sci_arttext&amp;pid=S0212-71992008000700003" TargetMode="External" /><Relationship Type="http://schemas.openxmlformats.org/officeDocument/2006/relationships/hyperlink" Id="rId83" Target="https://www.cun.es/enfermedades-tratamientos/enfermedades/sindrome-metabolico" TargetMode="External" /><Relationship Type="http://schemas.openxmlformats.org/officeDocument/2006/relationships/hyperlink" Id="rId9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2" Target="https://www.flasog.org/static/academica/Sindrome-Metabolico.pdf" TargetMode="External" /><Relationship Type="http://schemas.openxmlformats.org/officeDocument/2006/relationships/hyperlink" Id="rId85" Target="https://www.mayoclinic.org/es-es/diseases-conditions/metabolic-syndrome/diagnosis-treatment/drc-20351921" TargetMode="External" /><Relationship Type="http://schemas.openxmlformats.org/officeDocument/2006/relationships/hyperlink" Id="rId86" Target="https://www.mayoclinic.org/es-es/diseases-conditions/metabolic-syndrome/symptoms-causes/syc-20351916" TargetMode="External" /><Relationship Type="http://schemas.openxmlformats.org/officeDocument/2006/relationships/hyperlink" Id="rId89" Target="https://www.pediatriaintegral.es/publicacion-2015-07/sindrome-metabolico/" TargetMode="External" /><Relationship Type="http://schemas.openxmlformats.org/officeDocument/2006/relationships/hyperlink" Id="rId7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7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2022-04-01T18:21:01Z</dcterms:created>
  <dcterms:modified xsi:type="dcterms:W3CDTF">2022-04-01T18:21:01Z</dcterms:modified>
</cp:coreProperties>
</file>