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diez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2" w:name="complicaciones-materno-fetales-1"/>
      <w:bookmarkEnd w:id="42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3" w:name="consecuencias-a-largo-plazo-para-la-mujer"/>
      <w:bookmarkEnd w:id="43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4" w:name="consecuencias-para-el-feto"/>
      <w:bookmarkEnd w:id="44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 y se ha sugerido que puede ser un recurso adicional para</w:t>
      </w:r>
      <w:r>
        <w:t xml:space="preserve"> </w:t>
      </w:r>
      <w:r>
        <w:t xml:space="preserve">monitorizar el SM. Por otro lado el bajo peso al nacer va asociado a</w:t>
      </w:r>
      <w:r>
        <w:t xml:space="preserve"> </w:t>
      </w:r>
      <w:r>
        <w:t xml:space="preserve">embarazos de mujeres con edades avanzadas. Y los hijos de mujeres con</w:t>
      </w:r>
      <w:r>
        <w:t xml:space="preserve"> </w:t>
      </w:r>
      <w:r>
        <w:t xml:space="preserve">diabetes tipo 1 tienen predisposición al desarrollo de enfermedades</w:t>
      </w:r>
      <w:r>
        <w:t xml:space="preserve"> </w:t>
      </w:r>
      <w:r>
        <w:t xml:space="preserve">cardiovasculares durante la infancia.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5" w:name="prevención"/>
      <w:bookmarkEnd w:id="45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6" w:name="menopausia"/>
      <w:bookmarkEnd w:id="46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7" w:name="sm-en-la-tercera-edad"/>
      <w:bookmarkEnd w:id="47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BodyText"/>
      </w:pPr>
    </w:p>
    <w:p>
      <w:pPr>
        <w:pStyle w:val="Heading2"/>
      </w:pPr>
      <w:bookmarkStart w:id="48" w:name="por-grupos-de-población"/>
      <w:bookmarkEnd w:id="48"/>
      <w:r>
        <w:t xml:space="preserve">Por grupos de población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7" w:name="section"/>
      <w:bookmarkEnd w:id="57"/>
      <w:r>
        <w:t xml:space="preserve">1</w:t>
      </w:r>
    </w:p>
    <w:p>
      <w:pPr>
        <w:pStyle w:val="FirstParagraph"/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9" w:name="section-1"/>
      <w:bookmarkEnd w:id="59"/>
      <w:r>
        <w:t xml:space="preserve">2</w:t>
      </w:r>
    </w:p>
    <w:p>
      <w:pPr>
        <w:pStyle w:val="FirstParagraph"/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61" w:name="section-2"/>
      <w:bookmarkEnd w:id="61"/>
      <w:r>
        <w:t xml:space="preserve">3</w:t>
      </w:r>
    </w:p>
    <w:p>
      <w:pPr>
        <w:pStyle w:val="FirstParagraph"/>
      </w:pPr>
      <w:hyperlink r:id="rId62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3" w:name="section-3"/>
      <w:bookmarkEnd w:id="63"/>
      <w:r>
        <w:t xml:space="preserve">4</w:t>
      </w:r>
    </w:p>
    <w:p>
      <w:pPr>
        <w:pStyle w:val="FirstParagraph"/>
      </w:pPr>
      <w:hyperlink r:id="rId6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5" w:name="section-4"/>
      <w:bookmarkEnd w:id="65"/>
      <w:r>
        <w:t xml:space="preserve">5</w:t>
      </w:r>
    </w:p>
    <w:p>
      <w:pPr>
        <w:pStyle w:val="FirstParagraph"/>
      </w:pPr>
      <w:hyperlink r:id="rId6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7" w:name="section-5"/>
      <w:bookmarkEnd w:id="67"/>
      <w:r>
        <w:t xml:space="preserve">6</w:t>
      </w:r>
    </w:p>
    <w:p>
      <w:pPr>
        <w:pStyle w:val="FirstParagraph"/>
      </w:pPr>
      <w:hyperlink r:id="rId68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4" w:name="anexos"/>
      <w:bookmarkEnd w:id="84"/>
      <w:r>
        <w:t xml:space="preserve">Anexos</w:t>
      </w:r>
    </w:p>
    <w:p>
      <w:pPr>
        <w:pStyle w:val="Heading2"/>
      </w:pPr>
      <w:bookmarkStart w:id="85" w:name="vocabulario"/>
      <w:bookmarkEnd w:id="8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6" w:name="abreviaturas"/>
      <w:bookmarkEnd w:id="8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7" w:name="glosario"/>
      <w:bookmarkEnd w:id="87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8" w:name="tablas"/>
      <w:bookmarkEnd w:id="88"/>
      <w:r>
        <w:t xml:space="preserve">Tablas</w:t>
      </w:r>
    </w:p>
    <w:p>
      <w:pPr>
        <w:pStyle w:val="Heading5"/>
      </w:pPr>
      <w:bookmarkStart w:id="89" w:name="tabla-1"/>
      <w:bookmarkEnd w:id="8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90" w:name="tabla-2"/>
      <w:bookmarkEnd w:id="9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91" w:name="tabla-3"/>
      <w:bookmarkEnd w:id="9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2" w:name="tabla-4"/>
      <w:bookmarkEnd w:id="9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3" w:name="tabla-5"/>
      <w:bookmarkEnd w:id="9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09e1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c007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787140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2022-01-29T22:43:14Z</dcterms:created>
  <dcterms:modified xsi:type="dcterms:W3CDTF">2022-01-29T22:43:14Z</dcterms:modified>
</cp:coreProperties>
</file>