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indrome-metabólico-síndrome-de-reaven-síndrome-de-insulinorresistencia"/>
      <w:bookmarkEnd w:id="21"/>
      <w:r>
        <w:t xml:space="preserve">Sindrome metabólico, síndrome de Reaven, síndrome de insulinorresistencia</w:t>
      </w:r>
    </w:p>
    <w:p>
      <w:pPr>
        <w:pStyle w:val="FirstParagraph"/>
      </w:pP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rPr>
          <w:b/>
        </w:rPr>
        <w:t xml:space="preserve">Índice</w:t>
      </w:r>
    </w:p>
    <w:p>
      <w:pPr>
        <w:pStyle w:val="Compact"/>
        <w:numPr>
          <w:numId w:val="1001"/>
          <w:ilvl w:val="0"/>
        </w:numPr>
      </w:pPr>
      <w:r>
        <w:t xml:space="preserve">Objetivos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Obtener información sobre que es el S. Metabólico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Estudiar la importancia de la alimentación en su aparición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Definir pautas para prevenir y controlar su desarrollo</w:t>
      </w:r>
      <w:r>
        <w:br w:type="textWrapping"/>
      </w:r>
    </w:p>
    <w:p>
      <w:pPr>
        <w:numPr>
          <w:numId w:val="1001"/>
          <w:ilvl w:val="0"/>
        </w:numPr>
      </w:pPr>
      <w:r>
        <w:t xml:space="preserve">Investigar que conocimiento tiene la población acerca de este</w:t>
      </w:r>
      <w:r>
        <w:t xml:space="preserve"> </w:t>
      </w:r>
      <w:r>
        <w:t xml:space="preserve">síndrome</w:t>
      </w:r>
    </w:p>
    <w:p>
      <w:pPr>
        <w:pStyle w:val="Compact"/>
        <w:numPr>
          <w:numId w:val="1001"/>
          <w:ilvl w:val="0"/>
        </w:numPr>
      </w:pPr>
      <w:r>
        <w:t xml:space="preserve">Que es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Descubrimiento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Características</w:t>
      </w:r>
    </w:p>
    <w:p>
      <w:pPr>
        <w:pStyle w:val="Compact"/>
        <w:numPr>
          <w:numId w:val="1002"/>
          <w:ilvl w:val="1"/>
        </w:numPr>
      </w:pPr>
      <w:r>
        <w:t xml:space="preserve">Rasgos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Circunferencia grande de cintura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Colesterol bueno o de lipoproteínas de alta densidad reducido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Glucosa sanguínea en ayunas elevada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Hipertensión arterial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Niveles elevados de triglicéridos</w:t>
      </w:r>
    </w:p>
    <w:p>
      <w:pPr>
        <w:pStyle w:val="Compact"/>
        <w:numPr>
          <w:numId w:val="1001"/>
          <w:ilvl w:val="0"/>
        </w:numPr>
      </w:pPr>
      <w:r>
        <w:t xml:space="preserve">Tratamiento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Diferentes estrategias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¿Cómo detectarlo?</w:t>
      </w:r>
    </w:p>
    <w:p>
      <w:pPr>
        <w:pStyle w:val="Compact"/>
        <w:numPr>
          <w:numId w:val="1003"/>
          <w:ilvl w:val="1"/>
        </w:numPr>
      </w:pPr>
      <w:r>
        <w:t xml:space="preserve">Origen de la enfermedad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Factores adversos</w:t>
      </w:r>
      <w:r>
        <w:br w:type="textWrapping"/>
      </w:r>
    </w:p>
    <w:p>
      <w:pPr>
        <w:pStyle w:val="Compact"/>
        <w:numPr>
          <w:numId w:val="1003"/>
          <w:ilvl w:val="1"/>
        </w:numPr>
      </w:pPr>
      <w:r>
        <w:t xml:space="preserve">Influencias ambientales</w:t>
      </w:r>
    </w:p>
    <w:p>
      <w:pPr>
        <w:numPr>
          <w:numId w:val="1001"/>
          <w:ilvl w:val="0"/>
        </w:numPr>
      </w:pPr>
      <w:r>
        <w:t xml:space="preserve">Resultados</w:t>
      </w:r>
    </w:p>
    <w:p>
      <w:pPr>
        <w:numPr>
          <w:numId w:val="1001"/>
          <w:ilvl w:val="0"/>
        </w:numPr>
      </w:pPr>
      <w:r>
        <w:t xml:space="preserve">Discusión</w:t>
      </w:r>
    </w:p>
    <w:p>
      <w:pPr>
        <w:numPr>
          <w:numId w:val="1001"/>
          <w:ilvl w:val="0"/>
        </w:numPr>
      </w:pPr>
      <w:r>
        <w:t xml:space="preserve">Conclusión</w:t>
      </w:r>
    </w:p>
    <w:p>
      <w:pPr>
        <w:numPr>
          <w:numId w:val="1001"/>
          <w:ilvl w:val="0"/>
        </w:numPr>
      </w:pPr>
      <w:r>
        <w:t xml:space="preserve">Bibliografía</w:t>
      </w:r>
    </w:p>
    <w:p>
      <w:pPr>
        <w:numPr>
          <w:numId w:val="1001"/>
          <w:ilvl w:val="0"/>
        </w:numPr>
      </w:pPr>
      <w:r>
        <w:t xml:space="preserve">Anexos</w:t>
      </w:r>
    </w:p>
    <w:p>
      <w:pPr>
        <w:pStyle w:val="Heading2"/>
      </w:pPr>
      <w:bookmarkStart w:id="23" w:name="qué-es"/>
      <w:bookmarkEnd w:id="23"/>
      <w:r>
        <w:t xml:space="preserve">Qué es</w:t>
      </w:r>
    </w:p>
    <w:p>
      <w:pPr>
        <w:pStyle w:val="FirstParagraph"/>
      </w:pPr>
      <w:r>
        <w:t xml:space="preserve">El síndrome metabólico es un grupo de trastornos que se presentan al</w:t>
      </w:r>
      <w:r>
        <w:t xml:space="preserve"> </w:t>
      </w:r>
      <w:r>
        <w:t xml:space="preserve">mismo tiempo y aumentan el riesgo de enfermedad cardíaca, accidente</w:t>
      </w:r>
      <w:r>
        <w:t xml:space="preserve"> </w:t>
      </w:r>
      <w:r>
        <w:t xml:space="preserve">cerebrovascular y diabetes tipo 2. Estos trastornos incluyen: - aumento</w:t>
      </w:r>
      <w:r>
        <w:t xml:space="preserve"> </w:t>
      </w:r>
      <w:r>
        <w:t xml:space="preserve">de la presión arterial - niveles altos de azúcar en sangre - exceso de</w:t>
      </w:r>
      <w:r>
        <w:t xml:space="preserve"> </w:t>
      </w:r>
      <w:r>
        <w:t xml:space="preserve">grasa corporal alrededor de la cintura - niveles anormales de colesterol</w:t>
      </w:r>
      <w:r>
        <w:t xml:space="preserve"> </w:t>
      </w:r>
      <w:r>
        <w:t xml:space="preserve">o triglicéridos</w:t>
      </w:r>
    </w:p>
    <w:p>
      <w:pPr>
        <w:pStyle w:val="Heading3"/>
      </w:pPr>
      <w:bookmarkStart w:id="24" w:name="historia"/>
      <w:bookmarkEnd w:id="24"/>
      <w:r>
        <w:t xml:space="preserve">Historia</w:t>
      </w:r>
    </w:p>
    <w:p>
      <w:pPr>
        <w:pStyle w:val="FirstParagraph"/>
      </w:pPr>
      <w:r>
        <w:t xml:space="preserve">En 1988 Gerarld Reaven llamó 'síndrome X' a la agrupación de resistencia</w:t>
      </w:r>
      <w:r>
        <w:t xml:space="preserve"> </w:t>
      </w:r>
      <w:r>
        <w:t xml:space="preserve">a la insulina, dislipidemia e hipertensión. Desde 1999 la OMS lo</w:t>
      </w:r>
      <w:r>
        <w:t xml:space="preserve"> </w:t>
      </w:r>
      <w:r>
        <w:t xml:space="preserve">denomiana 'síndrome metabólico'</w:t>
      </w:r>
    </w:p>
    <w:p>
      <w:pPr>
        <w:pStyle w:val="Heading2"/>
      </w:pPr>
      <w:bookmarkStart w:id="25" w:name="resultados"/>
      <w:bookmarkEnd w:id="25"/>
      <w:r>
        <w:t xml:space="preserve">Resultados</w:t>
      </w:r>
    </w:p>
    <w:p>
      <w:pPr>
        <w:pStyle w:val="Heading2"/>
      </w:pPr>
      <w:bookmarkStart w:id="26" w:name="discusión"/>
      <w:bookmarkEnd w:id="26"/>
      <w:r>
        <w:t xml:space="preserve">Discusión</w:t>
      </w:r>
    </w:p>
    <w:p>
      <w:pPr>
        <w:pStyle w:val="Heading2"/>
      </w:pPr>
      <w:bookmarkStart w:id="27" w:name="conclusión"/>
      <w:bookmarkEnd w:id="27"/>
      <w:r>
        <w:t xml:space="preserve">Conclusión</w:t>
      </w:r>
    </w:p>
    <w:p>
      <w:pPr>
        <w:pStyle w:val="Heading2"/>
      </w:pPr>
      <w:bookmarkStart w:id="28" w:name="bibliografía"/>
      <w:bookmarkEnd w:id="28"/>
      <w:r>
        <w:t xml:space="preserve">Bibliografía</w:t>
      </w:r>
    </w:p>
    <w:p>
      <w:pPr>
        <w:pStyle w:val="Heading2"/>
      </w:pPr>
      <w:bookmarkStart w:id="29" w:name="anexos"/>
      <w:bookmarkEnd w:id="29"/>
      <w:r>
        <w:t xml:space="preserve">Anexos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a3743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dff478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./tfc-sindrome-metabolico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./tfc-sindrome-metabolic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2022-01-16T19:26:19Z</dcterms:created>
  <dcterms:modified xsi:type="dcterms:W3CDTF">2022-01-16T19:26:19Z</dcterms:modified>
</cp:coreProperties>
</file>