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≥ 0,9 en hombres y ≥ 0,85 en mujeres o</w:t>
            </w:r>
            <w:r>
              <w:t xml:space="preserve"> </w:t>
            </w:r>
            <w:r>
              <w:t xml:space="preserve">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central:≥102cm hombre, ≥88cm mujer, con</w:t>
            </w:r>
            <w:r>
              <w:t xml:space="preserve"> </w:t>
            </w:r>
            <w:r>
              <w:t xml:space="preserve">triglicéridos altos, con colesterol HDL</w:t>
            </w:r>
            <w:r>
              <w:t xml:space="preserve"> </w:t>
            </w:r>
            <w:r>
              <w:t xml:space="preserve">(c-HDL) bajo, hipertensión arterial y</w:t>
            </w:r>
            <w:r>
              <w:t xml:space="preserve"> </w:t>
            </w:r>
            <w:r>
              <w:t xml:space="preserve">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≥ 135/85 mmHg, a</w:t>
            </w:r>
            <w:r>
              <w:t xml:space="preserve"> </w:t>
            </w:r>
            <w:r>
              <w:t xml:space="preserve">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3d7d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55f1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2022-01-18T19:39:26Z</dcterms:created>
  <dcterms:modified xsi:type="dcterms:W3CDTF">2022-01-18T19:39:26Z</dcterms:modified>
</cp:coreProperties>
</file>