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y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3"/>
      </w:pPr>
      <w:bookmarkStart w:id="34" w:name="factores-de-riesgo.-características."/>
      <w:bookmarkEnd w:id="34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5" w:name="obesidad-abdominal.-perímetro-de-cintura-elevado."/>
      <w:bookmarkEnd w:id="35"/>
      <w:r>
        <w:t xml:space="preserve">3.2.1.1 Obesidad abdominal. 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****Según la OMS el sobrepeso y la obesidad se definen como una</w:t>
      </w:r>
      <w:r>
        <w:t xml:space="preserve"> </w:t>
      </w:r>
      <w:r>
        <w:t xml:space="preserve">acumulación anormal o excesiva de grasa que puede afectar a la salud.</w:t>
      </w:r>
    </w:p>
    <w:p>
      <w:pPr>
        <w:pStyle w:val="BodyText"/>
      </w:pPr>
      <w:r>
        <w:t xml:space="preserve">En función de la grasa corporal se puede definir como sujetos obesos</w:t>
      </w:r>
      <w:r>
        <w:t xml:space="preserve"> </w:t>
      </w:r>
      <w:r>
        <w:t xml:space="preserve">aquellos que presentan porcentajes de gras por encima de los valores</w:t>
      </w:r>
      <w:r>
        <w:t xml:space="preserve"> </w:t>
      </w:r>
      <w:r>
        <w:t xml:space="preserve">considerados normales. ***???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6" w:name="resistencia-a-la-insulina.-diabetes-mellitus-tipo-ii"/>
      <w:bookmarkEnd w:id="36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37" w:name="dislipemias"/>
      <w:bookmarkEnd w:id="37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3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3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3"/>
          <w:ilvl w:val="0"/>
        </w:numPr>
      </w:pPr>
      <w:r>
        <w:t xml:space="preserve">Antiinflamatoria.</w:t>
      </w:r>
    </w:p>
    <w:p>
      <w:pPr>
        <w:pStyle w:val="Compact"/>
        <w:numPr>
          <w:numId w:val="1013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3"/>
          <w:ilvl w:val="0"/>
        </w:numPr>
      </w:pPr>
      <w:r>
        <w:t xml:space="preserve">Reparación endotelial</w:t>
      </w:r>
    </w:p>
    <w:p>
      <w:pPr>
        <w:pStyle w:val="Compact"/>
        <w:numPr>
          <w:numId w:val="1013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38" w:name="hipertensión-arterial"/>
      <w:bookmarkEnd w:id="38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4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4"/>
          <w:ilvl w:val="0"/>
        </w:numPr>
      </w:pPr>
      <w:r>
        <w:t xml:space="preserve">Enfermedad renal</w:t>
      </w:r>
    </w:p>
    <w:p>
      <w:pPr>
        <w:pStyle w:val="Compact"/>
        <w:numPr>
          <w:numId w:val="1014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4"/>
          <w:ilvl w:val="0"/>
        </w:numPr>
      </w:pPr>
      <w:r>
        <w:t xml:space="preserve">Problemas de tiroides</w:t>
      </w:r>
    </w:p>
    <w:p>
      <w:pPr>
        <w:pStyle w:val="Compact"/>
        <w:numPr>
          <w:numId w:val="1014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4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4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39" w:name="niveles-elevados-de-triglicéridos"/>
      <w:bookmarkEnd w:id="39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5"/>
          <w:ilvl w:val="0"/>
        </w:numPr>
      </w:pPr>
      <w:r>
        <w:t xml:space="preserve">el cáncer colorrectal</w:t>
      </w:r>
    </w:p>
    <w:p>
      <w:pPr>
        <w:pStyle w:val="Compact"/>
        <w:numPr>
          <w:numId w:val="1015"/>
          <w:ilvl w:val="0"/>
        </w:numPr>
      </w:pPr>
      <w:r>
        <w:t xml:space="preserve">cáncer de mama</w:t>
      </w:r>
    </w:p>
    <w:p>
      <w:pPr>
        <w:pStyle w:val="Compact"/>
        <w:numPr>
          <w:numId w:val="1015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6"/>
          <w:ilvl w:val="0"/>
        </w:numPr>
      </w:pPr>
      <w:r>
        <w:t xml:space="preserve">la esteatosis hepática,</w:t>
      </w:r>
    </w:p>
    <w:p>
      <w:pPr>
        <w:pStyle w:val="Compact"/>
        <w:numPr>
          <w:numId w:val="1016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6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6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6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42" w:name="diagnóstico"/>
      <w:bookmarkEnd w:id="42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 y diabetes.</w:t>
      </w:r>
    </w:p>
    <w:p>
      <w:pPr>
        <w:pStyle w:val="BodyText"/>
      </w:pPr>
      <w:r>
        <w:t xml:space="preserve">Las personas con SM tienen el doble de riesgo de padecer enfermedad</w:t>
      </w:r>
      <w:r>
        <w:t xml:space="preserve"> </w:t>
      </w:r>
      <w:r>
        <w:t xml:space="preserve">cardiovascular y unas cinco veces mayor de sufrir diabetes.</w:t>
      </w:r>
    </w:p>
    <w:p>
      <w:pPr>
        <w:pStyle w:val="BodyText"/>
      </w:pPr>
      <w:r>
        <w:t xml:space="preserve">Cuanto más tiempo estén expuestos a los factores de riesgo de SM mayores</w:t>
      </w:r>
      <w:r>
        <w:t xml:space="preserve"> </w:t>
      </w:r>
      <w:r>
        <w:t xml:space="preserve">serán los daños que se irán acumulando.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  <w:r>
        <w:t xml:space="preserve"> </w:t>
      </w:r>
      <w:r>
        <w:t xml:space="preserve">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pStyle w:val="Compact"/>
        <w:numPr>
          <w:numId w:val="1017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pStyle w:val="Compact"/>
        <w:numPr>
          <w:numId w:val="1017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pStyle w:val="Compact"/>
        <w:numPr>
          <w:numId w:val="1017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pStyle w:val="Compact"/>
        <w:numPr>
          <w:numId w:val="1017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7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Compact"/>
        <w:numPr>
          <w:numId w:val="1018"/>
          <w:ilvl w:val="0"/>
        </w:numPr>
      </w:pPr>
      <w:r>
        <w:t xml:space="preserve">Un estilo de vida inactivo</w:t>
      </w:r>
    </w:p>
    <w:p>
      <w:pPr>
        <w:pStyle w:val="Compact"/>
        <w:numPr>
          <w:numId w:val="1018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18"/>
          <w:ilvl w:val="0"/>
        </w:numPr>
      </w:pPr>
      <w:r>
        <w:t xml:space="preserve">Genética: Origen étnico y su historia familiar) ******?????</w:t>
      </w:r>
    </w:p>
    <w:p>
      <w:pPr>
        <w:pStyle w:val="Heading2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2"/>
      </w:pPr>
      <w:bookmarkStart w:id="44" w:name="sm-en-el-adulto"/>
      <w:bookmarkEnd w:id="44"/>
      <w:r>
        <w:t xml:space="preserve">3.2.3.1 SM en el adulto</w:t>
      </w:r>
    </w:p>
    <w:p>
      <w:pPr>
        <w:pStyle w:val="Heading3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6" w:name="sm-en-la-mujer"/>
      <w:bookmarkEnd w:id="46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8" w:name="complicaciones-materno-fetales"/>
      <w:bookmarkEnd w:id="48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9" w:name="sm-en-la-infancia"/>
      <w:bookmarkEnd w:id="49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3"/>
      </w:pPr>
      <w:bookmarkStart w:id="50" w:name="sm-en-la-tercera-edad"/>
      <w:bookmarkEnd w:id="50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53" w:name="tratamiento-y-prevención"/>
      <w:bookmarkEnd w:id="53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</w:p>
    <w:p>
      <w:pPr>
        <w:pStyle w:val="Heading1"/>
      </w:pPr>
      <w:bookmarkStart w:id="54" w:name="material-y-métodos"/>
      <w:bookmarkEnd w:id="54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5" w:name="resultados"/>
      <w:bookmarkEnd w:id="55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6" w:name="discusión"/>
      <w:bookmarkEnd w:id="56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7" w:name="conclusión"/>
      <w:bookmarkEnd w:id="57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p>
      <w:pPr>
        <w:pStyle w:val="Heading2"/>
      </w:pPr>
      <w:bookmarkStart w:id="86" w:name="evolución-histórica-de-los-criterios-del-síndrome-metabólico"/>
      <w:bookmarkEnd w:id="86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7" w:name="indice-de-masa-corporal-circunferencia-abdominal-y-riesgo-de-enfermedad-cardiovascular"/>
      <w:bookmarkEnd w:id="87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1a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0482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573c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2022-02-13T22:11:16Z</dcterms:created>
  <dcterms:modified xsi:type="dcterms:W3CDTF">2022-02-13T22:11:16Z</dcterms:modified>
</cp:coreProperties>
</file>