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"/>
      <w:bookmarkEnd w:id="34"/>
      <w:r>
        <w:t xml:space="preserve">Diagnóstico</w:t>
      </w:r>
    </w:p>
    <w:p>
      <w:pPr>
        <w:pStyle w:val="FirstParagraph"/>
      </w:pPr>
      <w:r>
        <w:t xml:space="preserve">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Se dan varios factores de riesgo para desarrollar síndrome metabólico, a</w:t>
      </w:r>
      <w:r>
        <w:t xml:space="preserve"> </w:t>
      </w:r>
      <w:r>
        <w:t xml:space="preserve">menudo las personas tienen varios de ellos al mismo tiempo. Si tiene al</w:t>
      </w:r>
      <w:r>
        <w:t xml:space="preserve"> </w:t>
      </w:r>
      <w:r>
        <w:t xml:space="preserve">menos tres de ellos, se llama síndrome metabólico. Estos factores de</w:t>
      </w:r>
      <w:r>
        <w:t xml:space="preserve"> </w:t>
      </w:r>
      <w:r>
        <w:t xml:space="preserve">riesgo incluyen:</w:t>
      </w:r>
    </w:p>
    <w:p>
      <w:pPr>
        <w:pStyle w:val="Compact"/>
        <w:numPr>
          <w:numId w:val="1008"/>
          <w:ilvl w:val="0"/>
        </w:numPr>
      </w:pPr>
      <w:r>
        <w:t xml:space="preserve">Cuerpo con "forma de manzana", también llamada obesidad abdominal.</w:t>
      </w:r>
      <w:r>
        <w:t xml:space="preserve"> </w:t>
      </w:r>
      <w:r>
        <w:t xml:space="preserve">Tener demasiada grasa alrededor de la cintura es un factor de riesgo</w:t>
      </w:r>
      <w:r>
        <w:t xml:space="preserve"> </w:t>
      </w:r>
      <w:r>
        <w:t xml:space="preserve">mayor para enfermedades del corazón que acumular demasiada grasa en</w:t>
      </w:r>
      <w:r>
        <w:t xml:space="preserve"> </w:t>
      </w:r>
      <w:r>
        <w:t xml:space="preserve">otras partes del cuerpo.</w:t>
      </w:r>
    </w:p>
    <w:p>
      <w:pPr>
        <w:pStyle w:val="Compact"/>
        <w:numPr>
          <w:numId w:val="1008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pStyle w:val="Compact"/>
        <w:numPr>
          <w:numId w:val="1008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pStyle w:val="Compact"/>
        <w:numPr>
          <w:numId w:val="1008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El síndrome metabólico tiene varias causas que actúan juntas:</w:t>
      </w:r>
    </w:p>
    <w:p>
      <w:pPr>
        <w:pStyle w:val="Compact"/>
        <w:numPr>
          <w:numId w:val="1009"/>
          <w:ilvl w:val="0"/>
        </w:numPr>
      </w:pPr>
      <w:r>
        <w:t xml:space="preserve">Sobrepeso y obesidad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Resistencia a la insulina: Afección en la cual el cuerpo no puede</w:t>
      </w:r>
      <w:r>
        <w:t xml:space="preserve"> </w:t>
      </w:r>
      <w:r>
        <w:t xml:space="preserve">usar bien la insulina, una hormona que ayuda a mover el azúcar en la</w:t>
      </w:r>
      <w:r>
        <w:t xml:space="preserve"> </w:t>
      </w:r>
      <w:r>
        <w:t xml:space="preserve">sangre a las células para darles energía. La resistencia a la</w:t>
      </w:r>
      <w:r>
        <w:t xml:space="preserve"> </w:t>
      </w:r>
      <w:r>
        <w:t xml:space="preserve">insulina puede conducir a niveles altos de azúcar en la sangre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FirstParagraph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</w:p>
    <w:p>
      <w:pPr>
        <w:pStyle w:val="BodyText"/>
      </w:pPr>
      <w:r>
        <w:t xml:space="preserve">Criterios según la OMS.</w:t>
      </w:r>
    </w:p>
    <w:p>
      <w:pPr>
        <w:pStyle w:val="BodyText"/>
      </w:pPr>
      <w:r>
        <w:t xml:space="preserve">La OMS dice que la insulinorresistencia puede ser el factor común para</w:t>
      </w:r>
      <w:r>
        <w:t xml:space="preserve"> </w:t>
      </w:r>
      <w:r>
        <w:t xml:space="preserve">los componentes individuales del SM. En el año.</w:t>
      </w:r>
    </w:p>
    <w:p>
      <w:pPr>
        <w:pStyle w:val="BodyText"/>
      </w:pPr>
      <w:r>
        <w:t xml:space="preserve">No existen unos varemos aceptados universalmente y se ha detectado que</w:t>
      </w:r>
      <w:r>
        <w:t xml:space="preserve"> </w:t>
      </w:r>
      <w:r>
        <w:t xml:space="preserve">los valores de corte difieren según la étnica de los grupos de población</w:t>
      </w:r>
      <w:r>
        <w:t xml:space="preserve"> </w:t>
      </w:r>
      <w:r>
        <w:t xml:space="preserve">### Factores de riesgo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 Así tenemos: #### Obesidad abdominal.Perímetro de cintura</w:t>
      </w:r>
      <w:r>
        <w:t xml:space="preserve"> </w:t>
      </w:r>
      <w:r>
        <w:t xml:space="preserve">elevado.</w:t>
      </w:r>
    </w:p>
    <w:p>
      <w:pPr>
        <w:pStyle w:val="BodyText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5" w:name="colesterol-bueno-o-de-lipoproteínas-de-alta-densidad-reducido-dislipemia"/>
      <w:bookmarkEnd w:id="35"/>
      <w:r>
        <w:t xml:space="preserve">Colesterol bueno o de lipoproteínas de alta densidad reducido (dislipemia)</w:t>
      </w:r>
    </w:p>
    <w:p>
      <w:pPr>
        <w:pStyle w:val="Heading4"/>
      </w:pPr>
      <w:bookmarkStart w:id="36" w:name="resistencia-a-la-insulina.-diabetes-mellitus-tipo-ii"/>
      <w:bookmarkEnd w:id="36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miocardio, porque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2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2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2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t xml:space="preserve">Factores ambientales: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3"/>
          <w:ilvl w:val="0"/>
        </w:numPr>
      </w:pPr>
      <w:r>
        <w:t xml:space="preserve">Disrruptores endocrinos: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t xml:space="preserve">Déficit de micronutrientes 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 esto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7" w:name="hipertensión-arterial"/>
      <w:bookmarkEnd w:id="37"/>
      <w:r>
        <w:t xml:space="preserve">Hipertensión arterial</w:t>
      </w:r>
    </w:p>
    <w:p>
      <w:pPr>
        <w:pStyle w:val="Heading4"/>
      </w:pPr>
      <w:bookmarkStart w:id="38" w:name="niveles-elevados-de-triglicéridos"/>
      <w:bookmarkEnd w:id="38"/>
      <w:r>
        <w:t xml:space="preserve">Niveles elevados de triglicéridos</w:t>
      </w:r>
    </w:p>
    <w:p>
      <w:pPr>
        <w:pStyle w:val="Heading3"/>
      </w:pPr>
      <w:bookmarkStart w:id="39" w:name="patologías-relacionadas"/>
      <w:bookmarkEnd w:id="3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4"/>
          <w:ilvl w:val="0"/>
        </w:numPr>
      </w:pPr>
      <w:r>
        <w:t xml:space="preserve">el cáncer colorrectal</w:t>
      </w:r>
    </w:p>
    <w:p>
      <w:pPr>
        <w:pStyle w:val="Compact"/>
        <w:numPr>
          <w:numId w:val="1014"/>
          <w:ilvl w:val="0"/>
        </w:numPr>
      </w:pPr>
      <w:r>
        <w:t xml:space="preserve">cáncer de mama</w:t>
      </w:r>
    </w:p>
    <w:p>
      <w:pPr>
        <w:pStyle w:val="Compact"/>
        <w:numPr>
          <w:numId w:val="1014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5"/>
          <w:ilvl w:val="0"/>
        </w:numPr>
      </w:pPr>
      <w:r>
        <w:t xml:space="preserve">la esteatosis hepática,</w:t>
      </w:r>
    </w:p>
    <w:p>
      <w:pPr>
        <w:pStyle w:val="Compact"/>
        <w:numPr>
          <w:numId w:val="1015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5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5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5"/>
          <w:ilvl w:val="0"/>
        </w:numPr>
      </w:pPr>
      <w:r>
        <w:t xml:space="preserve">la infertilidad masculina</w:t>
      </w:r>
    </w:p>
    <w:p>
      <w:pPr>
        <w:pStyle w:val="Heading2"/>
      </w:pPr>
      <w:bookmarkStart w:id="40" w:name="iii.2.2-por-grupos-de-población"/>
      <w:bookmarkEnd w:id="40"/>
      <w:r>
        <w:t xml:space="preserve">III.2.2 Por grupos de población</w:t>
      </w:r>
    </w:p>
    <w:p>
      <w:pPr>
        <w:pStyle w:val="Heading3"/>
      </w:pPr>
      <w:bookmarkStart w:id="41" w:name="sm-en-el-hombre"/>
      <w:bookmarkEnd w:id="41"/>
      <w:r>
        <w:t xml:space="preserve">3.2.2.1 SM en el hombre</w:t>
      </w:r>
    </w:p>
    <w:p>
      <w:pPr>
        <w:pStyle w:val="Heading3"/>
      </w:pPr>
      <w:bookmarkStart w:id="42" w:name="sm-en-la-mujer"/>
      <w:bookmarkEnd w:id="42"/>
      <w:r>
        <w:t xml:space="preserve">3.2.2.2 SM en la mujer</w:t>
      </w:r>
    </w:p>
    <w:p>
      <w:pPr>
        <w:pStyle w:val="Heading4"/>
      </w:pPr>
      <w:bookmarkStart w:id="43" w:name="embarazo"/>
      <w:bookmarkEnd w:id="43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 desarrollar</w:t>
      </w:r>
      <w:r>
        <w:t xml:space="preserve"> </w:t>
      </w:r>
      <w:r>
        <w:t xml:space="preserve">posteriormente SM de 3 a 5 veces</w:t>
      </w:r>
    </w:p>
    <w:p>
      <w:pPr>
        <w:pStyle w:val="Body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 (4).</w:t>
      </w:r>
    </w:p>
    <w:p>
      <w:pPr>
        <w:pStyle w:val="BodyText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  <w:r>
        <w:t xml:space="preserve"> </w:t>
      </w:r>
      <w:r>
        <w:t xml:space="preserve">Los de mayor riesgo son los siguientes: hipertensión, hábito tabáquico,</w:t>
      </w:r>
      <w:r>
        <w:t xml:space="preserve"> </w:t>
      </w:r>
      <w:r>
        <w:t xml:space="preserve">concentraciones elevadas de lipoproteínas de baja densidad (LDL) y bajas</w:t>
      </w:r>
      <w:r>
        <w:t xml:space="preserve"> </w:t>
      </w:r>
      <w:r>
        <w:t xml:space="preserve">de lipoproteínas de alta densidad (HDL), antecedentes familiares de</w:t>
      </w:r>
      <w:r>
        <w:t xml:space="preserve"> </w:t>
      </w:r>
      <w:r>
        <w:t xml:space="preserve">enfermedad cardiovascular temprana y la edad.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4" w:name="complicaciones-materno-fetales"/>
      <w:bookmarkEnd w:id="44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5" w:name="sm-en-la-infancia"/>
      <w:bookmarkEnd w:id="45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6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También se sabe que un bajo o elevado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**** La obesidad infantil es el principal factor de riesgo de</w:t>
      </w:r>
      <w:r>
        <w:t xml:space="preserve"> </w:t>
      </w:r>
      <w:r>
        <w:t xml:space="preserve">obesidad en el adulto, así como de síndrome metabólico, diabetes</w:t>
      </w:r>
      <w:r>
        <w:t xml:space="preserve"> </w:t>
      </w:r>
      <w:r>
        <w:t xml:space="preserve">mellitus tipo 2 y del desarrollo de enfermedades cardiovasculares, que</w:t>
      </w:r>
      <w:r>
        <w:t xml:space="preserve"> </w:t>
      </w:r>
      <w:r>
        <w:t xml:space="preserve">reducen la calidad y duración de la vida. El síndrome metabólico es un</w:t>
      </w:r>
      <w:r>
        <w:t xml:space="preserve"> </w:t>
      </w:r>
      <w:r>
        <w:t xml:space="preserve">diagnóstico clínico que identifica una población con elevado riesgo</w:t>
      </w:r>
      <w:r>
        <w:t xml:space="preserve"> </w:t>
      </w:r>
      <w:r>
        <w:t xml:space="preserve">cardiovascular. La resistencia a la insulina parece ser el vínculo común</w:t>
      </w:r>
      <w:r>
        <w:t xml:space="preserve"> </w:t>
      </w:r>
      <w:r>
        <w:t xml:space="preserve">y el factor promotor de la cascada de disturbios metabólicos, modulados</w:t>
      </w:r>
      <w:r>
        <w:t xml:space="preserve"> </w:t>
      </w:r>
      <w:r>
        <w:t xml:space="preserve">por factores genéticos y ambientales. El síndrome metabólico puede</w:t>
      </w:r>
      <w:r>
        <w:t xml:space="preserve"> </w:t>
      </w:r>
      <w:r>
        <w:t xml:space="preserve">demostrarse en la edad pediátrica, pero actualmente no existen criterios</w:t>
      </w:r>
      <w:r>
        <w:t xml:space="preserve"> </w:t>
      </w:r>
      <w:r>
        <w:t xml:space="preserve">claramente definidos. Los criterios de la International Diabetes</w:t>
      </w:r>
      <w:r>
        <w:t xml:space="preserve"> </w:t>
      </w:r>
      <w:r>
        <w:t xml:space="preserve">Federation (IDF) para niños y adolescentes son los más utilizados, por</w:t>
      </w:r>
      <w:r>
        <w:t xml:space="preserve"> </w:t>
      </w:r>
      <w:r>
        <w:t xml:space="preserve">su fácil manejo; la medida de la cintura es el principal componente. Se</w:t>
      </w:r>
      <w:r>
        <w:t xml:space="preserve"> </w:t>
      </w:r>
      <w:r>
        <w:t xml:space="preserve">necesita una definición internacional para poder comparar los resultados</w:t>
      </w:r>
      <w:r>
        <w:t xml:space="preserve"> </w:t>
      </w:r>
      <w:r>
        <w:t xml:space="preserve">de los diferentes estudios, y, hasta que no ocurra, no se debe</w:t>
      </w:r>
      <w:r>
        <w:t xml:space="preserve"> </w:t>
      </w:r>
      <w:r>
        <w:t xml:space="preserve">diagnosticar por debajo de los 10 años. ****</w:t>
      </w:r>
    </w:p>
    <w:p>
      <w:pPr>
        <w:pStyle w:val="Heading3"/>
      </w:pPr>
      <w:bookmarkStart w:id="47" w:name="sm-en-la-tercera-edad"/>
      <w:bookmarkEnd w:id="47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6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16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16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16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Compact"/>
        <w:numPr>
          <w:numId w:val="1020"/>
          <w:ilvl w:val="0"/>
        </w:numPr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0"/>
          <w:ilvl w:val="0"/>
        </w:numPr>
      </w:pPr>
      <w:hyperlink r:id="rId5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0"/>
          <w:ilvl w:val="0"/>
        </w:numPr>
      </w:pPr>
      <w:hyperlink r:id="rId5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0"/>
          <w:ilvl w:val="0"/>
        </w:numPr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0"/>
          <w:ilvl w:val="0"/>
        </w:numPr>
      </w:pPr>
      <w:hyperlink r:id="rId6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0"/>
          <w:ilvl w:val="0"/>
        </w:numPr>
      </w:pPr>
      <w:hyperlink r:id="rId6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0"/>
          <w:ilvl w:val="0"/>
        </w:numPr>
      </w:pPr>
      <w:hyperlink r:id="rId6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0"/>
          <w:ilvl w:val="0"/>
        </w:numPr>
      </w:pPr>
      <w:hyperlink r:id="rId6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1"/>
          <w:ilvl w:val="0"/>
        </w:numPr>
      </w:pPr>
      <w:hyperlink r:id="rId6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1"/>
          <w:ilvl w:val="0"/>
        </w:numPr>
      </w:pPr>
      <w:hyperlink r:id="rId6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1"/>
          <w:ilvl w:val="0"/>
        </w:numPr>
      </w:pPr>
      <w:hyperlink r:id="rId6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1"/>
          <w:ilvl w:val="0"/>
        </w:numPr>
      </w:pPr>
      <w:hyperlink r:id="rId6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1"/>
          <w:ilvl w:val="0"/>
        </w:numPr>
      </w:pPr>
      <w:hyperlink r:id="rId6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1"/>
          <w:ilvl w:val="0"/>
        </w:numPr>
      </w:pPr>
      <w:hyperlink r:id="rId6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1"/>
          <w:ilvl w:val="0"/>
        </w:numPr>
      </w:pPr>
      <w:hyperlink r:id="rId7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1"/>
          <w:ilvl w:val="0"/>
        </w:numPr>
      </w:pPr>
      <w:hyperlink r:id="rId7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1"/>
          <w:ilvl w:val="0"/>
        </w:numPr>
      </w:pPr>
      <w:hyperlink r:id="rId7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1"/>
          <w:ilvl w:val="0"/>
        </w:numPr>
      </w:pPr>
      <w:hyperlink r:id="rId7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1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1"/>
          <w:ilvl w:val="0"/>
        </w:numPr>
      </w:pPr>
      <w:hyperlink r:id="rId7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1"/>
          <w:ilvl w:val="0"/>
        </w:numPr>
      </w:pPr>
      <w:hyperlink r:id="rId7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1"/>
          <w:ilvl w:val="0"/>
        </w:numPr>
      </w:pPr>
      <w:hyperlink r:id="rId7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79" w:name="anexos"/>
      <w:bookmarkEnd w:id="79"/>
      <w:r>
        <w:t xml:space="preserve">Anexos</w:t>
      </w:r>
    </w:p>
    <w:p>
      <w:pPr>
        <w:pStyle w:val="Heading2"/>
      </w:pPr>
      <w:bookmarkStart w:id="80" w:name="vocabulario"/>
      <w:bookmarkEnd w:id="8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1" w:name="abreviaturas"/>
      <w:bookmarkEnd w:id="8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2" w:name="tablas"/>
      <w:bookmarkEnd w:id="82"/>
      <w:r>
        <w:t xml:space="preserve">Tablas</w:t>
      </w:r>
    </w:p>
    <w:p>
      <w:pPr>
        <w:pStyle w:val="Heading2"/>
      </w:pPr>
      <w:bookmarkStart w:id="83" w:name="evolución-histórica-de-los-criterios-del-síndrome-metabólico"/>
      <w:bookmarkEnd w:id="8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4" w:name="indice-de-masa-corporal-circunferencia-abdominal-y-riesgo-de-enfermedad-cardiovascular"/>
      <w:bookmarkEnd w:id="8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5" w:name="grupo-europeo-para-el-estudio-de-la-resistencia-a-la-insulina---egir"/>
      <w:bookmarkEnd w:id="85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86" w:name="criterios-atp-iii-para-el-diagnóstico-del-síndrome-metabólico"/>
      <w:bookmarkEnd w:id="86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7" w:name="criterios-de-la-idf-international-diabetes-federation-2006."/>
      <w:bookmarkEnd w:id="87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8" w:name="asociación-americana-de-endocrinología-ace"/>
      <w:bookmarkEnd w:id="88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89" w:name="aec-factores-riesgo"/>
      <w:bookmarkEnd w:id="89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90" w:name="criterios-diagnósticos-ncep-atp-iii"/>
      <w:bookmarkEnd w:id="90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91" w:name="valores-de-circunferencia-abdominal-indicándose-la-especificidad-étnica"/>
      <w:bookmarkEnd w:id="91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3a7b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618c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e2362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/docs/documentacion/Obesidad_y_sindrome_metabolico.pdf" TargetMode="External" /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62" Target="http://scielo.isciii.es/scielo.php?script=sci_arttext&amp;pid=S0212-16112017000500013&amp;lng=es&amp;nrm=iso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/docs/documentacion/Obesidad_y_sindrome_metabolico.pdf" TargetMode="External" /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62" Target="http://scielo.isciii.es/scielo.php?script=sci_arttext&amp;pid=S0212-16112017000500013&amp;lng=es&amp;nrm=iso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2022-02-08T21:28:49Z</dcterms:created>
  <dcterms:modified xsi:type="dcterms:W3CDTF">2022-02-08T21:28:49Z</dcterms:modified>
</cp:coreProperties>
</file>