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El Síndrome Metabólico (SM) no es una enfermedad nueva,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hiperglucemia y gota.</w:t>
      </w:r>
    </w:p>
    <w:p>
      <w:pPr>
        <w:pStyle w:val="BodyText"/>
      </w:pPr>
      <w:r>
        <w:t xml:space="preserve">La agrupación de estos factores de riesgo cardiovascular es conocida</w:t>
      </w:r>
      <w:r>
        <w:t xml:space="preserve"> </w:t>
      </w:r>
      <w:r>
        <w:t xml:space="preserve">desde la antigüedad y a lo largo de la historia ha recibido diferentes</w:t>
      </w:r>
      <w:r>
        <w:t xml:space="preserve"> </w:t>
      </w:r>
      <w:r>
        <w:t xml:space="preserve">nombres, “síndrome plurimetabolico”, “obesidad diabetogénica”,</w:t>
      </w:r>
      <w:r>
        <w:t xml:space="preserve"> </w:t>
      </w:r>
      <w:r>
        <w:t xml:space="preserve">etc.Oficialmente el primer intento de definición lo realizó Gerarld</w:t>
      </w:r>
      <w:r>
        <w:t xml:space="preserve"> </w:t>
      </w:r>
      <w:r>
        <w:t xml:space="preserve">Reaven en 1988, cuando llamó 'síndrome X' a la agrupación de resistencia</w:t>
      </w:r>
      <w:r>
        <w:t xml:space="preserve"> </w:t>
      </w:r>
      <w:r>
        <w:t xml:space="preserve">a la insulina (RI), dislipidemia e 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por sí</w:t>
      </w:r>
      <w:r>
        <w:t xml:space="preserve"> </w:t>
      </w:r>
      <w:r>
        <w:t xml:space="preserve">mismo, pero en combinación son mucho más potentes, y que el tratamiento</w:t>
      </w:r>
      <w:r>
        <w:t xml:space="preserve"> </w:t>
      </w:r>
      <w:r>
        <w:t xml:space="preserve">no debe enfocarse únicamente al control de la glucosa, si no incluir</w:t>
      </w:r>
      <w:r>
        <w:t xml:space="preserve"> </w:t>
      </w:r>
      <w:r>
        <w:t xml:space="preserve">también estrategias 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nombrarlo,</w:t>
      </w:r>
      <w:r>
        <w:t xml:space="preserve"> </w:t>
      </w:r>
      <w:r>
        <w:t xml:space="preserve">buscando definir la lista de factores que lo componen, siendo los</w:t>
      </w:r>
      <w:r>
        <w:t xml:space="preserve"> </w:t>
      </w:r>
      <w:r>
        <w:t xml:space="preserve">aceptados de forma común: obesidad abdominal (</w:t>
      </w:r>
      <w:r>
        <w:rPr>
          <w:i/>
        </w:rPr>
        <w:t xml:space="preserve">perímetro de contorno de</w:t>
      </w:r>
      <w:r>
        <w:rPr>
          <w:i/>
        </w:rPr>
        <w:t xml:space="preserve"> </w:t>
      </w:r>
      <w:r>
        <w:rPr>
          <w:i/>
        </w:rPr>
        <w:t xml:space="preserve">cintura elevado), dislipidemia aterogénico (</w:t>
      </w:r>
      <w:r>
        <w:t xml:space="preserve"> </w:t>
      </w:r>
      <w:r>
        <w:t xml:space="preserve">alteración lipídica</w:t>
      </w:r>
      <w:r>
        <w:t xml:space="preserve"> </w:t>
      </w:r>
      <w:r>
        <w:t xml:space="preserve">proteica, asociada a un riesgo cardiovascular elevado caracterizada por</w:t>
      </w:r>
      <w:r>
        <w:t xml:space="preserve"> </w:t>
      </w:r>
      <w:r>
        <w:t xml:space="preserve">la asociación de colesterol HDL bajo, triglicéridos elevados y alta</w:t>
      </w:r>
      <w:r>
        <w:t xml:space="preserve"> </w:t>
      </w:r>
      <w:r>
        <w:t xml:space="preserve">proporción de partículas LDL), hipertensión, resistencia insulina</w:t>
      </w:r>
      <w:r>
        <w:t xml:space="preserve"> </w:t>
      </w:r>
      <w:r>
        <w:t xml:space="preserve">(Diabetes mellitus 2), estado proinflamatorio y estado protrombótico.</w:t>
      </w:r>
    </w:p>
    <w:p>
      <w:pPr>
        <w:pStyle w:val="BodyText"/>
      </w:pPr>
      <w:r>
        <w:t xml:space="preserve">A pesar de todos los intentos no se ha llegado a un acuerdo sobre los</w:t>
      </w:r>
      <w:r>
        <w:t xml:space="preserve"> </w:t>
      </w:r>
      <w:r>
        <w:t xml:space="preserve">varemos a utilizar y la importancia que cada uno de los los factores que</w:t>
      </w:r>
      <w:r>
        <w:t xml:space="preserve"> </w:t>
      </w:r>
      <w:r>
        <w:t xml:space="preserve">lo conforman y pudieran determinar el diagnóstico del SM como tal.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sedentaria son factores determinantes para</w:t>
      </w:r>
      <w:r>
        <w:t xml:space="preserve"> </w:t>
      </w:r>
      <w:r>
        <w:t xml:space="preserve">su desarrollo.</w:t>
      </w:r>
    </w:p>
    <w:p>
      <w:pPr>
        <w:pStyle w:val="BodyText"/>
      </w:pPr>
      <w:r>
        <w:t xml:space="preserve">Se considera que solo un 10% de los casos de SM tiene causas genéticas.</w:t>
      </w:r>
    </w:p>
    <w:p>
      <w:pPr>
        <w:pStyle w:val="BodyText"/>
      </w:pPr>
      <w:r>
        <w:t xml:space="preserve">Por este motivo hay que resaltar la importancia de la alimentación y los</w:t>
      </w:r>
      <w:r>
        <w:t xml:space="preserve"> </w:t>
      </w:r>
      <w:r>
        <w:t xml:space="preserve">hábitos de vida como causa y a la vez como instrumento de prevención y</w:t>
      </w:r>
      <w:r>
        <w:t xml:space="preserve"> </w:t>
      </w:r>
      <w:r>
        <w:t xml:space="preserve">tratamiento del SM.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8ff9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08f0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5c215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2022-02-05T17:17:27Z</dcterms:created>
  <dcterms:modified xsi:type="dcterms:W3CDTF">2022-02-05T17:17:27Z</dcterms:modified>
</cp:coreProperties>
</file>