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</w:t>
      </w:r>
    </w:p>
    <w:p>
      <w:pPr>
        <w:pStyle w:val="BodyText"/>
      </w:pPr>
      <w:r>
        <w:t xml:space="preserve">Finalmente se ha buscado un enfoque en el que,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ayude a detectar los factores de riesgo que pueden desembocar en</w:t>
      </w:r>
      <w:r>
        <w:t xml:space="preserve"> </w:t>
      </w:r>
      <w:r>
        <w:t xml:space="preserve">diabetes y enfermedades cardiovasculares. Así, desde el punto de vista</w:t>
      </w:r>
      <w:r>
        <w:t xml:space="preserve"> </w:t>
      </w:r>
      <w:r>
        <w:t xml:space="preserve">operativo, SM es el conjunto de alteraciones metabólicas y vasculares</w:t>
      </w:r>
      <w:r>
        <w:t xml:space="preserve"> </w:t>
      </w:r>
      <w:r>
        <w:t xml:space="preserve">que parten de la obesidad abdominal y la resistencia insulina, fenómenos</w:t>
      </w:r>
      <w:r>
        <w:t xml:space="preserve"> </w:t>
      </w:r>
      <w:r>
        <w:t xml:space="preserve">que a través de procesos inflamatorios, oxidativos y de disfunción</w:t>
      </w:r>
      <w:r>
        <w:t xml:space="preserve"> </w:t>
      </w:r>
      <w:r>
        <w:t xml:space="preserve">endotelial, predisponen a un mayor riesgo de diabetes y eventos</w:t>
      </w:r>
      <w:r>
        <w:t xml:space="preserve"> </w:t>
      </w:r>
      <w:r>
        <w:t xml:space="preserve">cardiovasculares.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4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4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r>
        <w:t xml:space="preserve">Gerald M Reaven, The Metabolic Syndrome: Requiescat in Pace,</w:t>
      </w:r>
      <w:r>
        <w:t xml:space="preserve"> </w:t>
      </w:r>
      <w:r>
        <w:t xml:space="preserve">Clinical Chemistry, Volume 51, Issue 6, 1 June 2005, Pages 931–938,</w:t>
      </w:r>
      <w:r>
        <w:t xml:space="preserve"> </w:t>
      </w:r>
      <w:r>
        <w:t xml:space="preserve">https://doi.org/10.1373/clinchem.2005.048611 # Anexos</w:t>
      </w:r>
    </w:p>
    <w:p>
      <w:pPr>
        <w:pStyle w:val="Heading2"/>
      </w:pPr>
      <w:bookmarkStart w:id="41" w:name="abreviaturas"/>
      <w:bookmarkEnd w:id="4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p>
      <w:pPr>
        <w:pStyle w:val="FigureWithCaption"/>
      </w:pPr>
      <w:r>
        <w:drawing>
          <wp:inline>
            <wp:extent cx="5334000" cy="3696586"/>
            <wp:effectExtent b="0" l="0" r="0" t="0"/>
            <wp:docPr descr="SM" title="" id="1" name="Picture"/>
            <a:graphic>
              <a:graphicData uri="http://schemas.openxmlformats.org/drawingml/2006/picture">
                <pic:pic>
                  <pic:nvPicPr>
                    <pic:cNvPr descr="articulos/El_síndrome_metabólico_Requiescat_in_Pace_tabl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65ef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3d716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2022-01-17T18:55:59Z</dcterms:created>
  <dcterms:modified xsi:type="dcterms:W3CDTF">2022-01-17T18:55:59Z</dcterms:modified>
</cp:coreProperties>
</file>