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</w:p>
    <w:p>
      <w:pPr>
        <w:pStyle w:val="Compact"/>
        <w:numPr>
          <w:numId w:val="1001"/>
          <w:ilvl w:val="0"/>
        </w:numPr>
      </w:pPr>
      <w:r>
        <w:t xml:space="preserve">Parte teórica</w:t>
      </w:r>
    </w:p>
    <w:p>
      <w:pPr>
        <w:pStyle w:val="Compact"/>
        <w:numPr>
          <w:numId w:val="1003"/>
          <w:ilvl w:val="1"/>
        </w:numPr>
      </w:pPr>
      <w:r>
        <w:t xml:space="preserve">Que es</w:t>
      </w:r>
    </w:p>
    <w:p>
      <w:pPr>
        <w:pStyle w:val="Compact"/>
        <w:numPr>
          <w:numId w:val="1003"/>
          <w:ilvl w:val="1"/>
        </w:numPr>
      </w:pPr>
      <w:r>
        <w:t xml:space="preserve">Factores de riesgo</w:t>
      </w:r>
    </w:p>
    <w:p>
      <w:pPr>
        <w:pStyle w:val="Compact"/>
        <w:numPr>
          <w:numId w:val="1004"/>
          <w:ilvl w:val="2"/>
        </w:numPr>
      </w:pPr>
      <w:r>
        <w:t xml:space="preserve">Circunferencia grande de cintura</w:t>
      </w:r>
    </w:p>
    <w:p>
      <w:pPr>
        <w:pStyle w:val="Compact"/>
        <w:numPr>
          <w:numId w:val="1004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</w:p>
    <w:p>
      <w:pPr>
        <w:pStyle w:val="Compact"/>
        <w:numPr>
          <w:numId w:val="1004"/>
          <w:ilvl w:val="2"/>
        </w:numPr>
      </w:pPr>
      <w:r>
        <w:t xml:space="preserve">Glucosa sanguínea en ayunas elevada</w:t>
      </w:r>
    </w:p>
    <w:p>
      <w:pPr>
        <w:pStyle w:val="Compact"/>
        <w:numPr>
          <w:numId w:val="1004"/>
          <w:ilvl w:val="2"/>
        </w:numPr>
      </w:pPr>
      <w:r>
        <w:t xml:space="preserve">Hipertensión arterial</w:t>
      </w:r>
    </w:p>
    <w:p>
      <w:pPr>
        <w:pStyle w:val="Compact"/>
        <w:numPr>
          <w:numId w:val="1004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1"/>
        </w:numPr>
      </w:pPr>
      <w:r>
        <w:t xml:space="preserve">Por grupos de población</w:t>
      </w:r>
    </w:p>
    <w:p>
      <w:pPr>
        <w:pStyle w:val="Compact"/>
        <w:numPr>
          <w:numId w:val="1005"/>
          <w:ilvl w:val="2"/>
        </w:numPr>
      </w:pPr>
      <w:r>
        <w:t xml:space="preserve">SM en la infancia</w:t>
      </w:r>
    </w:p>
    <w:p>
      <w:pPr>
        <w:pStyle w:val="Compact"/>
        <w:numPr>
          <w:numId w:val="1005"/>
          <w:ilvl w:val="2"/>
        </w:numPr>
      </w:pPr>
      <w:r>
        <w:t xml:space="preserve">SM en adultos</w:t>
      </w:r>
    </w:p>
    <w:p>
      <w:pPr>
        <w:pStyle w:val="Compact"/>
        <w:numPr>
          <w:numId w:val="1005"/>
          <w:ilvl w:val="2"/>
        </w:numPr>
      </w:pPr>
      <w:r>
        <w:t xml:space="preserve">SM en la mujer</w:t>
      </w:r>
    </w:p>
    <w:p>
      <w:pPr>
        <w:pStyle w:val="Compact"/>
        <w:numPr>
          <w:numId w:val="1006"/>
          <w:ilvl w:val="3"/>
        </w:numPr>
      </w:pPr>
      <w:r>
        <w:t xml:space="preserve">Menopausia</w:t>
      </w:r>
    </w:p>
    <w:p>
      <w:pPr>
        <w:pStyle w:val="Compact"/>
        <w:numPr>
          <w:numId w:val="1005"/>
          <w:ilvl w:val="2"/>
        </w:numPr>
      </w:pPr>
      <w:r>
        <w:t xml:space="preserve">SN en la tercera edad</w:t>
      </w:r>
    </w:p>
    <w:p>
      <w:pPr>
        <w:pStyle w:val="Compact"/>
        <w:numPr>
          <w:numId w:val="1003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3"/>
          <w:ilvl w:val="1"/>
        </w:numPr>
      </w:pPr>
      <w:r>
        <w:t xml:space="preserve">Hábitos de vida</w:t>
      </w:r>
    </w:p>
    <w:p>
      <w:pPr>
        <w:pStyle w:val="Compact"/>
        <w:numPr>
          <w:numId w:val="1003"/>
          <w:ilvl w:val="1"/>
        </w:numPr>
      </w:pPr>
      <w:r>
        <w:t xml:space="preserve">Prevención y Tratamiento</w:t>
      </w:r>
    </w:p>
    <w:p>
      <w:pPr>
        <w:pStyle w:val="Compact"/>
        <w:numPr>
          <w:numId w:val="1003"/>
          <w:ilvl w:val="1"/>
        </w:numPr>
      </w:pPr>
      <w:r>
        <w:t xml:space="preserve">Patologías relacionadas</w:t>
      </w:r>
    </w:p>
    <w:p>
      <w:pPr>
        <w:pStyle w:val="Compact"/>
        <w:numPr>
          <w:numId w:val="1001"/>
          <w:ilvl w:val="0"/>
        </w:numPr>
      </w:pPr>
      <w:r>
        <w:t xml:space="preserve">Material y métodos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Discusión</w:t>
      </w:r>
    </w:p>
    <w:p>
      <w:pPr>
        <w:pStyle w:val="Compact"/>
        <w:numPr>
          <w:numId w:val="1001"/>
          <w:ilvl w:val="0"/>
        </w:numPr>
      </w:pPr>
      <w:r>
        <w:t xml:space="preserve">Conclusión</w:t>
      </w:r>
    </w:p>
    <w:p>
      <w:pPr>
        <w:pStyle w:val="Compact"/>
        <w:numPr>
          <w:numId w:val="1001"/>
          <w:ilvl w:val="0"/>
        </w:numPr>
      </w:pPr>
      <w:r>
        <w:t xml:space="preserve">Bibliografía</w:t>
      </w:r>
    </w:p>
    <w:p>
      <w:pPr>
        <w:pStyle w:val="FirstParagraph"/>
      </w:pP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Heading1"/>
      </w:pPr>
      <w:bookmarkStart w:id="25" w:name="objetivos"/>
      <w:bookmarkEnd w:id="25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6" w:name="parte-teórica"/>
      <w:bookmarkEnd w:id="26"/>
      <w:r>
        <w:t xml:space="preserve">Parte teórica</w:t>
      </w:r>
    </w:p>
    <w:p>
      <w:pPr>
        <w:pStyle w:val="Heading2"/>
      </w:pPr>
      <w:bookmarkStart w:id="27" w:name="que-es"/>
      <w:bookmarkEnd w:id="27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8" w:name="como-identificarlo"/>
      <w:bookmarkEnd w:id="28"/>
      <w:r>
        <w:t xml:space="preserve">Como identificarlo</w:t>
      </w:r>
    </w:p>
    <w:p>
      <w:pPr>
        <w:pStyle w:val="Heading3"/>
      </w:pPr>
      <w:bookmarkStart w:id="29" w:name="factores-de-riesgo"/>
      <w:bookmarkEnd w:id="29"/>
      <w:r>
        <w:t xml:space="preserve">Factores de riesgo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Circunferencia grande de cintura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Colesterol bueno o de lipoproteínas de alta densidad reducido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Glucosa sanguínea en ayunas elevada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 arterial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Niveles elevados de triglicéridos</w:t>
      </w:r>
    </w:p>
    <w:p>
      <w:pPr>
        <w:pStyle w:val="Heading3"/>
      </w:pPr>
      <w:bookmarkStart w:id="30" w:name="relación-con-la-alimentación"/>
      <w:bookmarkEnd w:id="30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31" w:name="hábitos-de-vida"/>
      <w:bookmarkEnd w:id="31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sedentarismo</w:t>
      </w:r>
      <w:r>
        <w:br w:type="textWrapping"/>
      </w:r>
      <w:r>
        <w:t xml:space="preserve">Prueba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3"/>
      </w:pPr>
      <w:bookmarkStart w:id="32" w:name="prevención-y-tratamiento"/>
      <w:bookmarkEnd w:id="32"/>
      <w:r>
        <w:t xml:space="preserve">Prevención y Tratamiento</w:t>
      </w:r>
    </w:p>
    <w:p>
      <w:pPr>
        <w:pStyle w:val="FirstParagraph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2"/>
      </w:pPr>
      <w:bookmarkStart w:id="33" w:name="por-grupos-de-población"/>
      <w:bookmarkEnd w:id="33"/>
      <w:r>
        <w:t xml:space="preserve">Por grupos de población</w:t>
      </w:r>
    </w:p>
    <w:p>
      <w:pPr>
        <w:pStyle w:val="Heading3"/>
      </w:pPr>
      <w:bookmarkStart w:id="34" w:name="sm-en-la-infrancia"/>
      <w:bookmarkEnd w:id="34"/>
      <w:r>
        <w:t xml:space="preserve">SM en la infrancia</w:t>
      </w:r>
    </w:p>
    <w:p>
      <w:pPr>
        <w:pStyle w:val="Heading3"/>
      </w:pPr>
      <w:bookmarkStart w:id="35" w:name="sm-en-adultos"/>
      <w:bookmarkEnd w:id="35"/>
      <w:r>
        <w:t xml:space="preserve">SM en adultos</w:t>
      </w:r>
    </w:p>
    <w:p>
      <w:pPr>
        <w:pStyle w:val="Heading3"/>
      </w:pPr>
      <w:bookmarkStart w:id="36" w:name="sm-en-la-mujer"/>
      <w:bookmarkEnd w:id="36"/>
      <w:r>
        <w:t xml:space="preserve">SM en la mujer</w:t>
      </w:r>
    </w:p>
    <w:p>
      <w:pPr>
        <w:pStyle w:val="Heading4"/>
      </w:pPr>
      <w:bookmarkStart w:id="37" w:name="menopausia"/>
      <w:bookmarkEnd w:id="37"/>
      <w:r>
        <w:t xml:space="preserve">menopausia</w:t>
      </w:r>
    </w:p>
    <w:p>
      <w:pPr>
        <w:pStyle w:val="Heading3"/>
      </w:pPr>
      <w:bookmarkStart w:id="38" w:name="sn-en-la-tercera-edad"/>
      <w:bookmarkEnd w:id="38"/>
      <w:r>
        <w:t xml:space="preserve">SN en la tercera edad</w:t>
      </w:r>
    </w:p>
    <w:p>
      <w:pPr>
        <w:pStyle w:val="Heading3"/>
      </w:pPr>
      <w:bookmarkStart w:id="39" w:name="patologías-relacionadas"/>
      <w:bookmarkEnd w:id="39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1"/>
          <w:ilvl w:val="0"/>
        </w:numPr>
      </w:pPr>
      <w:r>
        <w:t xml:space="preserve">el cáncer colorrectal</w:t>
      </w:r>
    </w:p>
    <w:p>
      <w:pPr>
        <w:pStyle w:val="Compact"/>
        <w:numPr>
          <w:numId w:val="1011"/>
          <w:ilvl w:val="0"/>
        </w:numPr>
      </w:pPr>
      <w:r>
        <w:t xml:space="preserve">cáncer de mama</w:t>
      </w:r>
    </w:p>
    <w:p>
      <w:pPr>
        <w:pStyle w:val="Compact"/>
        <w:numPr>
          <w:numId w:val="1011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2"/>
          <w:ilvl w:val="0"/>
        </w:numPr>
      </w:pPr>
      <w:r>
        <w:t xml:space="preserve">la esteatosis hepática,</w:t>
      </w:r>
    </w:p>
    <w:p>
      <w:pPr>
        <w:pStyle w:val="Compact"/>
        <w:numPr>
          <w:numId w:val="1012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2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2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2"/>
          <w:ilvl w:val="0"/>
        </w:numPr>
      </w:pPr>
      <w:r>
        <w:t xml:space="preserve">la infertilidad masculina</w:t>
      </w:r>
    </w:p>
    <w:p>
      <w:pPr>
        <w:pStyle w:val="Heading1"/>
      </w:pPr>
      <w:bookmarkStart w:id="40" w:name="material-y-métodos"/>
      <w:bookmarkEnd w:id="40"/>
      <w:r>
        <w:t xml:space="preserve">Material y métodos</w:t>
      </w:r>
    </w:p>
    <w:p>
      <w:pPr>
        <w:pStyle w:val="Heading1"/>
      </w:pPr>
      <w:bookmarkStart w:id="41" w:name="resultados"/>
      <w:bookmarkEnd w:id="41"/>
      <w:r>
        <w:t xml:space="preserve">Resultados</w:t>
      </w:r>
    </w:p>
    <w:p>
      <w:pPr>
        <w:pStyle w:val="Heading1"/>
      </w:pPr>
      <w:bookmarkStart w:id="42" w:name="discusión"/>
      <w:bookmarkEnd w:id="42"/>
      <w:r>
        <w:t xml:space="preserve">Discusión</w:t>
      </w:r>
    </w:p>
    <w:p>
      <w:pPr>
        <w:pStyle w:val="Heading1"/>
      </w:pPr>
      <w:bookmarkStart w:id="43" w:name="conclusión"/>
      <w:bookmarkEnd w:id="43"/>
      <w:r>
        <w:t xml:space="preserve">Conclusión</w:t>
      </w:r>
    </w:p>
    <w:p>
      <w:pPr>
        <w:pStyle w:val="Heading1"/>
      </w:pPr>
      <w:bookmarkStart w:id="44" w:name="bibliografía"/>
      <w:bookmarkEnd w:id="44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45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46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47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48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49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5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51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61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62" w:name="anexos"/>
      <w:bookmarkEnd w:id="62"/>
      <w:r>
        <w:t xml:space="preserve">Anexos</w:t>
      </w:r>
    </w:p>
    <w:p>
      <w:pPr>
        <w:pStyle w:val="Heading2"/>
      </w:pPr>
      <w:bookmarkStart w:id="63" w:name="vocabulario"/>
      <w:bookmarkEnd w:id="63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64" w:name="abreviaturas"/>
      <w:bookmarkEnd w:id="6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815e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345d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4bf756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dspace.utalca.cl/handle/1950/4714" TargetMode="External" /><Relationship Type="http://schemas.openxmlformats.org/officeDocument/2006/relationships/hyperlink" Id="rId46" Target="http://scielo.isciii.es/scielo.php?script=sci_arttext&amp;pid=S1137-66272016000200009&amp;lng=es&amp;nrm=iso" TargetMode="External" /><Relationship Type="http://schemas.openxmlformats.org/officeDocument/2006/relationships/hyperlink" Id="rId56" Target="http://www.scielo.org.pe/scielo.php?script=sci_arttext&amp;pid=S1025-55832020000100092&amp;lng=es" TargetMode="External" /><Relationship Type="http://schemas.openxmlformats.org/officeDocument/2006/relationships/hyperlink" Id="rId48" Target="https://doi.org/10.1373/clinchem.2005.048611" TargetMode="External" /><Relationship Type="http://schemas.openxmlformats.org/officeDocument/2006/relationships/hyperlink" Id="rId51" Target="https://isanidad.com/67663/la-falta-de-sueno-puede-disminuir-el-colesterol-bueno/" TargetMode="External" /><Relationship Type="http://schemas.openxmlformats.org/officeDocument/2006/relationships/hyperlink" Id="rId53" Target="https://middlesexhealth.org/learning-center/espanol/enfermedades-y-afecciones/s-ndrome-metab-lico" TargetMode="External" /><Relationship Type="http://schemas.openxmlformats.org/officeDocument/2006/relationships/hyperlink" Id="rId50" Target="https://ruc.udc.es/dspace/handle/2183/16548" TargetMode="External" /><Relationship Type="http://schemas.openxmlformats.org/officeDocument/2006/relationships/hyperlink" Id="rId57" Target="https://scielo.isciii.es/scielo.php?script=sci_arttext&amp;pid=S0212-16112017000500013" TargetMode="External" /><Relationship Type="http://schemas.openxmlformats.org/officeDocument/2006/relationships/hyperlink" Id="rId60" Target="https://scielo.isciii.es/scielo.php?script=sci_arttext&amp;pid=S0212-71992008000700003" TargetMode="External" /><Relationship Type="http://schemas.openxmlformats.org/officeDocument/2006/relationships/hyperlink" Id="rId52" Target="https://www.cun.es/enfermedades-tratamientos/enfermedades/sindrome-metabolico" TargetMode="External" /><Relationship Type="http://schemas.openxmlformats.org/officeDocument/2006/relationships/hyperlink" Id="rId5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4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61" Target="https://www.flasog.org/static/academica/Sindrome-Metabolico.pdf" TargetMode="External" /><Relationship Type="http://schemas.openxmlformats.org/officeDocument/2006/relationships/hyperlink" Id="rId54" Target="https://www.mayoclinic.org/es-es/diseases-conditions/metabolic-syndrome/diagnosis-treatment/drc-20351921" TargetMode="External" /><Relationship Type="http://schemas.openxmlformats.org/officeDocument/2006/relationships/hyperlink" Id="rId55" Target="https://www.mayoclinic.org/es-es/diseases-conditions/metabolic-syndrome/symptoms-causes/syc-20351916" TargetMode="External" /><Relationship Type="http://schemas.openxmlformats.org/officeDocument/2006/relationships/hyperlink" Id="rId58" Target="https://www.pediatriaintegral.es/publicacion-2015-07/sindrome-metabolico/" TargetMode="External" /><Relationship Type="http://schemas.openxmlformats.org/officeDocument/2006/relationships/hyperlink" Id="rId45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dspace.utalca.cl/handle/1950/4714" TargetMode="External" /><Relationship Type="http://schemas.openxmlformats.org/officeDocument/2006/relationships/hyperlink" Id="rId46" Target="http://scielo.isciii.es/scielo.php?script=sci_arttext&amp;pid=S1137-66272016000200009&amp;lng=es&amp;nrm=iso" TargetMode="External" /><Relationship Type="http://schemas.openxmlformats.org/officeDocument/2006/relationships/hyperlink" Id="rId56" Target="http://www.scielo.org.pe/scielo.php?script=sci_arttext&amp;pid=S1025-55832020000100092&amp;lng=es" TargetMode="External" /><Relationship Type="http://schemas.openxmlformats.org/officeDocument/2006/relationships/hyperlink" Id="rId48" Target="https://doi.org/10.1373/clinchem.2005.048611" TargetMode="External" /><Relationship Type="http://schemas.openxmlformats.org/officeDocument/2006/relationships/hyperlink" Id="rId51" Target="https://isanidad.com/67663/la-falta-de-sueno-puede-disminuir-el-colesterol-bueno/" TargetMode="External" /><Relationship Type="http://schemas.openxmlformats.org/officeDocument/2006/relationships/hyperlink" Id="rId53" Target="https://middlesexhealth.org/learning-center/espanol/enfermedades-y-afecciones/s-ndrome-metab-lico" TargetMode="External" /><Relationship Type="http://schemas.openxmlformats.org/officeDocument/2006/relationships/hyperlink" Id="rId50" Target="https://ruc.udc.es/dspace/handle/2183/16548" TargetMode="External" /><Relationship Type="http://schemas.openxmlformats.org/officeDocument/2006/relationships/hyperlink" Id="rId57" Target="https://scielo.isciii.es/scielo.php?script=sci_arttext&amp;pid=S0212-16112017000500013" TargetMode="External" /><Relationship Type="http://schemas.openxmlformats.org/officeDocument/2006/relationships/hyperlink" Id="rId60" Target="https://scielo.isciii.es/scielo.php?script=sci_arttext&amp;pid=S0212-71992008000700003" TargetMode="External" /><Relationship Type="http://schemas.openxmlformats.org/officeDocument/2006/relationships/hyperlink" Id="rId52" Target="https://www.cun.es/enfermedades-tratamientos/enfermedades/sindrome-metabolico" TargetMode="External" /><Relationship Type="http://schemas.openxmlformats.org/officeDocument/2006/relationships/hyperlink" Id="rId5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4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61" Target="https://www.flasog.org/static/academica/Sindrome-Metabolico.pdf" TargetMode="External" /><Relationship Type="http://schemas.openxmlformats.org/officeDocument/2006/relationships/hyperlink" Id="rId54" Target="https://www.mayoclinic.org/es-es/diseases-conditions/metabolic-syndrome/diagnosis-treatment/drc-20351921" TargetMode="External" /><Relationship Type="http://schemas.openxmlformats.org/officeDocument/2006/relationships/hyperlink" Id="rId55" Target="https://www.mayoclinic.org/es-es/diseases-conditions/metabolic-syndrome/symptoms-causes/syc-20351916" TargetMode="External" /><Relationship Type="http://schemas.openxmlformats.org/officeDocument/2006/relationships/hyperlink" Id="rId58" Target="https://www.pediatriaintegral.es/publicacion-2015-07/sindrome-metabolico/" TargetMode="External" /><Relationship Type="http://schemas.openxmlformats.org/officeDocument/2006/relationships/hyperlink" Id="rId45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2022-01-20T20:00:15Z</dcterms:created>
  <dcterms:modified xsi:type="dcterms:W3CDTF">2022-01-20T20:00:15Z</dcterms:modified>
</cp:coreProperties>
</file>