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9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42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66" w:name="resultados"/>
      <w:bookmarkEnd w:id="66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3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67" w:name="discusión"/>
      <w:bookmarkEnd w:id="6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Hay estudios que dicen que la utilización de los factores de riesgo</w:t>
      </w:r>
      <w:r>
        <w:t xml:space="preserve"> </w:t>
      </w:r>
      <w:r>
        <w:t xml:space="preserve">cardiovasculares (FRCV) es suficiente para prevenir el riesgo</w:t>
      </w:r>
      <w:r>
        <w:t xml:space="preserve"> </w:t>
      </w:r>
      <w:r>
        <w:t xml:space="preserve">cardiovascular en las personas, por lo cual no consideran necesario</w:t>
      </w:r>
      <w:r>
        <w:t xml:space="preserve"> </w:t>
      </w:r>
      <w:r>
        <w:t xml:space="preserve">acudir a la aplicación de las guías de SM.</w:t>
      </w:r>
    </w:p>
    <w:p>
      <w:pPr>
        <w:pStyle w:val="BodyText"/>
      </w:pPr>
      <w:r>
        <w:t xml:space="preserve">Por otro lado, se ha demostrado que la prevalencia del SM varía de</w:t>
      </w:r>
      <w:r>
        <w:t xml:space="preserve"> </w:t>
      </w:r>
      <w:r>
        <w:t xml:space="preserve">acuerdo a la guía que se utilice, en consecuencia, no se llega a conocer</w:t>
      </w:r>
      <w:r>
        <w:t xml:space="preserve"> </w:t>
      </w:r>
      <w:r>
        <w:t xml:space="preserve">la real magnitud del problema. Por ejemplo, la concepción original de</w:t>
      </w:r>
      <w:r>
        <w:t xml:space="preserve"> </w:t>
      </w:r>
      <w:r>
        <w:t xml:space="preserve">Reaven considera a la RI como el factor inicial y fundamental del</w:t>
      </w:r>
      <w:r>
        <w:t xml:space="preserve"> </w:t>
      </w:r>
      <w:r>
        <w:t xml:space="preserve">denominado síndrome X; sin embargo, sólo la OMS y el grupo de estudio</w:t>
      </w:r>
      <w:r>
        <w:t xml:space="preserve"> </w:t>
      </w:r>
      <w:r>
        <w:t xml:space="preserve">EGIR lo toman en cuenta.</w:t>
      </w:r>
    </w:p>
    <w:p>
      <w:pPr>
        <w:pStyle w:val="BodyText"/>
      </w:pP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4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  <w:r>
        <w:t xml:space="preserve"> </w:t>
      </w:r>
    </w:p>
    <w:p>
      <w:pPr>
        <w:pStyle w:val="Heading1"/>
      </w:pPr>
      <w:bookmarkStart w:id="68" w:name="conclusión"/>
      <w:bookmarkEnd w:id="6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 la ingesta de calorías y el</w:t>
      </w:r>
      <w:r>
        <w:t xml:space="preserve"> </w:t>
      </w:r>
      <w:r>
        <w:t xml:space="preserve">gasto energético, pero también se ve afectado por la composición</w:t>
      </w:r>
      <w:r>
        <w:t xml:space="preserve"> </w:t>
      </w:r>
      <w:r>
        <w:t xml:space="preserve">genética del individuo, el predominio del estilo de vida sedentario</w:t>
      </w:r>
      <w:r>
        <w:t xml:space="preserve"> </w:t>
      </w:r>
      <w:r>
        <w:t xml:space="preserve">sobre la actividad física y otros factores como el microbiota intestinal</w:t>
      </w:r>
      <w:r>
        <w:t xml:space="preserve"> </w:t>
      </w:r>
      <w:r>
        <w:t xml:space="preserve">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pero hay que señalar que sólo en el 10% tiene un origen</w:t>
      </w:r>
      <w:r>
        <w:t xml:space="preserve"> </w:t>
      </w:r>
      <w:r>
        <w:t xml:space="preserve">genético por lo será muy importante la educación de la población y la</w:t>
      </w:r>
      <w:r>
        <w:t xml:space="preserve"> </w:t>
      </w:r>
      <w:r>
        <w:t xml:space="preserve">implicación de las distintas instituciones para la elaboración de un</w:t>
      </w:r>
      <w:r>
        <w:t xml:space="preserve"> </w:t>
      </w:r>
      <w:r>
        <w:t xml:space="preserve">plan de educación y prevención de este síndrome que representa ya un</w:t>
      </w:r>
      <w:r>
        <w:t xml:space="preserve"> </w:t>
      </w:r>
      <w:r>
        <w:t xml:space="preserve">problema de salud 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se sabe que las pérdidas entre 5/10 Kg han</w:t>
      </w:r>
      <w:r>
        <w:t xml:space="preserve"> </w:t>
      </w:r>
      <w:r>
        <w:t xml:space="preserve">demostrado ser efectivas en la mejora de todas las patologías</w:t>
      </w:r>
      <w:r>
        <w:t xml:space="preserve"> </w:t>
      </w:r>
      <w:r>
        <w:t xml:space="preserve">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industrial,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 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calidad,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 y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propaganda,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los factores sociales, culturales y</w:t>
      </w:r>
      <w:r>
        <w:t xml:space="preserve"> </w:t>
      </w:r>
      <w:r>
        <w:t xml:space="preserve">económicos y como afectan a la alimentación y salud de los individuos.</w:t>
      </w:r>
    </w:p>
    <w:p>
      <w:pPr>
        <w:pStyle w:val="BodyText"/>
      </w:pPr>
      <w:r>
        <w:t xml:space="preserve">Es un problema que ya no afecta solo a los países industrializados, sino</w:t>
      </w:r>
      <w:r>
        <w:t xml:space="preserve"> </w:t>
      </w:r>
      <w:r>
        <w:t xml:space="preserve">que también ha aumentado notablemente en los países en transición, ya</w:t>
      </w:r>
      <w:r>
        <w:t xml:space="preserve"> </w:t>
      </w:r>
      <w:r>
        <w:t xml:space="preserve">que estos países están adquiriendo estilos de vida cada vez más</w:t>
      </w:r>
      <w:r>
        <w:t xml:space="preserve"> </w:t>
      </w:r>
      <w:r>
        <w:t xml:space="preserve">parecidos a los occidentales, disminuyendo la actividad física y</w:t>
      </w:r>
      <w:r>
        <w:t xml:space="preserve"> </w:t>
      </w:r>
      <w:r>
        <w:t xml:space="preserve">teniendo un consumo elevado de alimentos con alta cantidad 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</w:t>
      </w:r>
    </w:p>
    <w:p>
      <w:pPr>
        <w:pStyle w:val="BodyText"/>
      </w:pPr>
      <w:r>
        <w:t xml:space="preserve">Es decir, que una persona pobre en un país pobre sufre escasez de</w:t>
      </w:r>
      <w:r>
        <w:t xml:space="preserve"> </w:t>
      </w:r>
      <w:r>
        <w:t xml:space="preserve">alimentos sumado a un incremento en el gasto energético relacionado con</w:t>
      </w:r>
      <w:r>
        <w:t xml:space="preserve"> </w:t>
      </w:r>
      <w:r>
        <w:t xml:space="preserve">el trabajo manual; en cambio, una persona pobre en un país de ingresos</w:t>
      </w:r>
      <w:r>
        <w:t xml:space="preserve"> </w:t>
      </w:r>
      <w:r>
        <w:t xml:space="preserve">medios se expone a una abundancia de alimentos de mala calidad</w:t>
      </w:r>
      <w:r>
        <w:t xml:space="preserve"> </w:t>
      </w:r>
      <w:r>
        <w:t xml:space="preserve">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mayor acceso a alimentos de mejor calidad y más tiempo libre para</w:t>
      </w:r>
      <w:r>
        <w:t xml:space="preserve"> </w:t>
      </w:r>
      <w:r>
        <w:t xml:space="preserve">dedicarle a 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pérdida para reducir todos los factores que engloban el SM, incluida la</w:t>
      </w:r>
      <w:r>
        <w:t xml:space="preserve"> </w:t>
      </w:r>
      <w:r>
        <w:t xml:space="preserve">DM2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45"/>
          <w:ilvl w:val="0"/>
        </w:numPr>
      </w:pPr>
      <w:hyperlink r:id="rId7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5"/>
          <w:ilvl w:val="0"/>
        </w:numPr>
      </w:pPr>
      <w:hyperlink r:id="rId7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5"/>
          <w:ilvl w:val="0"/>
        </w:numPr>
      </w:pPr>
      <w:hyperlink r:id="rId7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5"/>
          <w:ilvl w:val="0"/>
        </w:numPr>
      </w:pPr>
      <w:hyperlink r:id="rId7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5"/>
          <w:ilvl w:val="0"/>
        </w:numPr>
      </w:pPr>
      <w:hyperlink r:id="rId7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5"/>
          <w:ilvl w:val="0"/>
        </w:numPr>
      </w:pPr>
      <w:hyperlink r:id="rId7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5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5"/>
          <w:ilvl w:val="0"/>
        </w:numPr>
      </w:pPr>
      <w:hyperlink r:id="rId7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6"/>
          <w:ilvl w:val="0"/>
        </w:numPr>
      </w:pPr>
      <w:hyperlink r:id="rId7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6"/>
          <w:ilvl w:val="0"/>
        </w:numPr>
      </w:pPr>
      <w:hyperlink r:id="rId7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6"/>
          <w:ilvl w:val="0"/>
        </w:numPr>
      </w:pPr>
      <w:hyperlink r:id="rId8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6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6"/>
          <w:ilvl w:val="0"/>
        </w:numPr>
      </w:pPr>
      <w:hyperlink r:id="rId8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6"/>
          <w:ilvl w:val="0"/>
        </w:numPr>
      </w:pPr>
      <w:hyperlink r:id="rId8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6"/>
          <w:ilvl w:val="0"/>
        </w:numPr>
      </w:pPr>
      <w:hyperlink r:id="rId8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6"/>
          <w:ilvl w:val="0"/>
        </w:numPr>
      </w:pPr>
      <w:hyperlink r:id="rId8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6"/>
          <w:ilvl w:val="0"/>
        </w:numPr>
      </w:pPr>
      <w:hyperlink r:id="rId8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6"/>
          <w:ilvl w:val="0"/>
        </w:numPr>
      </w:pPr>
      <w:hyperlink r:id="rId8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6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6"/>
          <w:ilvl w:val="0"/>
        </w:numPr>
      </w:pPr>
      <w:hyperlink r:id="rId8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6"/>
          <w:ilvl w:val="0"/>
        </w:numPr>
      </w:pPr>
      <w:hyperlink r:id="rId9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6"/>
          <w:ilvl w:val="0"/>
        </w:numPr>
      </w:pPr>
      <w:hyperlink r:id="rId9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3" w:name="anexos"/>
      <w:bookmarkEnd w:id="93"/>
      <w:r>
        <w:t xml:space="preserve">Anexos</w:t>
      </w:r>
    </w:p>
    <w:p>
      <w:pPr>
        <w:pStyle w:val="Heading2"/>
      </w:pPr>
      <w:bookmarkStart w:id="94" w:name="vocabulario"/>
      <w:bookmarkEnd w:id="9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5" w:name="abreviaturas"/>
      <w:bookmarkEnd w:id="9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9bee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51d1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e8798f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96" Target="media/rId96.png" /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2022-04-08T18:22:54Z</dcterms:created>
  <dcterms:modified xsi:type="dcterms:W3CDTF">2022-04-08T18:22:54Z</dcterms:modified>
</cp:coreProperties>
</file>