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(nivel de vida e incidencia de sindrome metabólico)</w:t>
      </w:r>
    </w:p>
    <w:p>
      <w:pPr>
        <w:pStyle w:val="BodyText"/>
      </w:pPr>
      <w:r>
        <w:t xml:space="preserve">(influcencia de la industria alimentaria)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4abc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69e8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fd26f0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2022-02-03T22:12:17Z</dcterms:created>
  <dcterms:modified xsi:type="dcterms:W3CDTF">2022-02-03T22:12:17Z</dcterms:modified>
</cp:coreProperties>
</file>