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  <w:hyperlink r:id="rId23">
        <w:r>
          <w:rPr>
            <w:rStyle w:val="Hyperlink"/>
          </w:rPr>
          <w:t xml:space="preserve">articulos/sm-descripcion-general.md</w:t>
        </w:r>
      </w:hyperlink>
      <w:r>
        <w:t xml:space="preserve"> </w:t>
      </w:r>
      <w:hyperlink r:id="rId24">
        <w:r>
          <w:rPr>
            <w:rStyle w:val="Hyperlink"/>
          </w:rPr>
          <w:t xml:space="preserve">articulos/sm-diagnostico.md</w:t>
        </w:r>
      </w:hyperlink>
      <w:r>
        <w:t xml:space="preserve"> </w:t>
      </w:r>
      <w:hyperlink r:id="rId25">
        <w:r>
          <w:rPr>
            <w:rStyle w:val="Hyperlink"/>
          </w:rPr>
          <w:t xml:space="preserve">articulos/sm-reaven.md</w:t>
        </w:r>
      </w:hyperlink>
    </w:p>
    <w:p>
      <w:pPr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  <w:hyperlink r:id="rId26">
        <w:r>
          <w:rPr>
            <w:rStyle w:val="Hyperlink"/>
          </w:rPr>
          <w:t xml:space="preserve">articulos/Cambios_alimentarios_y_de_estilo_de_vida_como_estrategia_en_la_prevención_del_síndrome_metabólico_y_la_diabetes_mellitus_tipo_2_-_hitos_y_perspectivas.md</w:t>
        </w:r>
      </w:hyperlink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2"/>
          <w:ilvl w:val="1"/>
        </w:numPr>
      </w:pPr>
      <w:r>
        <w:t xml:space="preserve">Patologías relacionadas</w:t>
      </w:r>
    </w:p>
    <w:p>
      <w:pPr>
        <w:numPr>
          <w:numId w:val="1001"/>
          <w:ilvl w:val="0"/>
        </w:numPr>
      </w:pPr>
      <w:r>
        <w:t xml:space="preserve">Relación con la alimentación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4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7" w:name="qué-es"/>
      <w:bookmarkEnd w:id="27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8" w:name="historia"/>
      <w:bookmarkEnd w:id="28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9" w:name="resultados"/>
      <w:bookmarkEnd w:id="29"/>
      <w:r>
        <w:t xml:space="preserve">Resultados</w:t>
      </w:r>
    </w:p>
    <w:p>
      <w:pPr>
        <w:pStyle w:val="Heading2"/>
      </w:pPr>
      <w:bookmarkStart w:id="30" w:name="discusión"/>
      <w:bookmarkEnd w:id="30"/>
      <w:r>
        <w:t xml:space="preserve">Discusión</w:t>
      </w:r>
    </w:p>
    <w:p>
      <w:pPr>
        <w:pStyle w:val="Heading2"/>
      </w:pPr>
      <w:bookmarkStart w:id="31" w:name="conclusión"/>
      <w:bookmarkEnd w:id="31"/>
      <w:r>
        <w:t xml:space="preserve">Conclusión</w:t>
      </w:r>
    </w:p>
    <w:p>
      <w:pPr>
        <w:pStyle w:val="Heading2"/>
      </w:pPr>
      <w:bookmarkStart w:id="32" w:name="bibliografía"/>
      <w:bookmarkEnd w:id="32"/>
      <w:r>
        <w:t xml:space="preserve">Bibliografía</w:t>
      </w:r>
    </w:p>
    <w:p>
      <w:pPr>
        <w:pStyle w:val="Heading2"/>
      </w:pPr>
      <w:bookmarkStart w:id="33" w:name="anexos"/>
      <w:bookmarkEnd w:id="33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ad22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d0f2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2022-01-16T20:38:43Z</dcterms:created>
  <dcterms:modified xsi:type="dcterms:W3CDTF">2022-01-16T20:38:43Z</dcterms:modified>
</cp:coreProperties>
</file>