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En los últimos 50 años la obesidad y el SM se ha convertido en una</w:t>
      </w:r>
      <w:r>
        <w:t xml:space="preserve"> </w:t>
      </w:r>
      <w:r>
        <w:t xml:space="preserve">pandemia.Y si esto se consideraba antes como enfermedades de la edad</w:t>
      </w:r>
      <w:r>
        <w:t xml:space="preserve"> </w:t>
      </w:r>
      <w:r>
        <w:t xml:space="preserve">media de la vida, ahora ha ido aumentando de forma progresiva su</w:t>
      </w:r>
      <w:r>
        <w:t xml:space="preserve"> </w:t>
      </w:r>
      <w:r>
        <w:t xml:space="preserve">incidencia en niños y adolescentes. Que no solo se están volviendo más</w:t>
      </w:r>
      <w:r>
        <w:t xml:space="preserve"> </w:t>
      </w:r>
      <w:r>
        <w:t xml:space="preserve">obesos sino que 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 Trasladar el concepto de riesgo utilizado en la</w:t>
      </w:r>
      <w:r>
        <w:t xml:space="preserve"> </w:t>
      </w:r>
      <w:r>
        <w:t xml:space="preserve">población adulta de riesgo a niños y adolescentes resulta difícil,</w:t>
      </w:r>
      <w:r>
        <w:t xml:space="preserve"> </w:t>
      </w:r>
      <w:r>
        <w:t xml:space="preserve">puesto que la tensión arterial, el nivel de lípidos, la sensibilidad a</w:t>
      </w:r>
      <w:r>
        <w:t xml:space="preserve"> </w:t>
      </w:r>
      <w:r>
        <w:t xml:space="preserve">la insulina y las medidas antropométicas cambian con la edad y el</w:t>
      </w:r>
      <w:r>
        <w:t xml:space="preserve"> </w:t>
      </w:r>
      <w:r>
        <w:t xml:space="preserve">desarrollo en la adolescencia. Además, el que no haya un sistema y</w:t>
      </w:r>
      <w:r>
        <w:t xml:space="preserve"> </w:t>
      </w:r>
      <w:r>
        <w:t xml:space="preserve">criterio unificado para medir esos valores, dificulta el poder realizar</w:t>
      </w:r>
      <w:r>
        <w:t xml:space="preserve"> </w:t>
      </w:r>
      <w:r>
        <w:t xml:space="preserve">un diagnóstico.</w:t>
      </w:r>
    </w:p>
    <w:p>
      <w:pPr>
        <w:pStyle w:val="BodyText"/>
      </w:pPr>
      <w:r>
        <w:t xml:space="preserve">Además de los mecanismos fisiopatológicos existen también factores</w:t>
      </w:r>
      <w:r>
        <w:t xml:space="preserve"> </w:t>
      </w:r>
      <w:r>
        <w:t xml:space="preserve">ambientales.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el cambio en el estilo de vida ocupa un lugar</w:t>
      </w:r>
      <w:r>
        <w:t xml:space="preserve"> </w:t>
      </w:r>
      <w:r>
        <w:t xml:space="preserve">primordial.</w:t>
      </w:r>
    </w:p>
    <w:p>
      <w:pPr>
        <w:pStyle w:val="BodyText"/>
      </w:pPr>
      <w:r>
        <w:t xml:space="preserve">(lo de la predisposición genética)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5310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775a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3a8e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2022-01-30T18:21:43Z</dcterms:created>
  <dcterms:modified xsi:type="dcterms:W3CDTF">2022-01-30T18:21:43Z</dcterms:modified>
</cp:coreProperties>
</file>