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 diagnóstico de DG a través de una prueba basada en una</w:t>
      </w:r>
      <w:r>
        <w:t xml:space="preserve"> </w:t>
      </w:r>
      <w:r>
        <w:rPr>
          <w:b/>
        </w:rPr>
        <w:t xml:space="preserve">sobrecarga glucosada</w:t>
      </w:r>
      <w:r>
        <w:t xml:space="preserve"> </w:t>
      </w:r>
      <w:r>
        <w:t xml:space="preserve">similar a la utilizada en adultos fuera del</w:t>
      </w:r>
      <w:r>
        <w:t xml:space="preserve"> </w:t>
      </w:r>
      <w:r>
        <w:t xml:space="preserve">embarazo.</w:t>
      </w:r>
    </w:p>
    <w:p>
      <w:pPr>
        <w:pStyle w:val="BodyText"/>
      </w:pP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w:t>
      </w:r>
      <w:r>
        <w:br w:type="textWrapping"/>
      </w:r>
      <w:r>
        <w:t xml:space="preserve">- La respuesta normal a las dos horas debe ser menor de 140 mg/dL - si</w:t>
      </w:r>
      <w:r>
        <w:t xml:space="preserve"> </w:t>
      </w:r>
      <w:r>
        <w:t xml:space="preserve">la 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4530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d663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3899d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2022-01-29T19:25:33Z</dcterms:created>
  <dcterms:modified xsi:type="dcterms:W3CDTF">2022-01-29T19:25:33Z</dcterms:modified>
</cp:coreProperties>
</file>