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rPr>
          <w:b/>
        </w:rPr>
        <w:t xml:space="preserve">Agradecimientos</w:t>
      </w:r>
    </w:p>
    <w:p>
      <w:pPr>
        <w:pStyle w:val="BodyText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diagnóstico-e-intervención">
        <w:r>
          <w:rPr>
            <w:rStyle w:val="Hyperlink"/>
          </w:rPr>
          <w:t xml:space="preserve">Diagnóstico e intervención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Médico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  <w:b/>
        </w:rPr>
        <w:t xml:space="preserve">Motivo de la consulta</w:t>
      </w:r>
      <w:r>
        <w:t xml:space="preserve">: perder peso.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Antecedentes familiares</w:t>
      </w:r>
      <w:r>
        <w:t xml:space="preserve">: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Tratamiento que está siguiendo</w:t>
      </w:r>
      <w:r>
        <w:t xml:space="preserve">: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Síntomas que están experimentando</w:t>
      </w:r>
      <w:r>
        <w:t xml:space="preserve">:</w:t>
      </w:r>
    </w:p>
    <w:p>
      <w:pPr>
        <w:pStyle w:val="BodyText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Motivos de la última consulta al médico</w:t>
      </w:r>
      <w:r>
        <w:t xml:space="preserve">: Revisión rutinaria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Operaciones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Alergias</w:t>
      </w:r>
      <w:r>
        <w:t xml:space="preserve">: No refiere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57" w:name="antropometría"/>
      <w:bookmarkEnd w:id="57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 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 cm</w:t>
      </w:r>
      <w:r>
        <w:br w:type="textWrapping"/>
      </w:r>
      <w:r>
        <w:rPr>
          <w:i/>
          <w:b/>
        </w:rPr>
        <w:t xml:space="preserve">P. muslo</w:t>
      </w:r>
      <w:r>
        <w:t xml:space="preserve">: 57 cm</w:t>
      </w:r>
      <w:r>
        <w:br w:type="textWrapping"/>
      </w:r>
      <w:r>
        <w:rPr>
          <w:i/>
          <w:b/>
        </w:rPr>
        <w:t xml:space="preserve">Complexion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BodyText"/>
      </w:pPr>
    </w:p>
    <w:p>
      <w:pPr>
        <w:pStyle w:val="Heading2"/>
      </w:pPr>
      <w:bookmarkStart w:id="58" w:name="bioquímica"/>
      <w:bookmarkEnd w:id="58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Heading2"/>
      </w:pPr>
      <w:bookmarkStart w:id="59" w:name="exploración-física-y-preguntas"/>
      <w:bookmarkEnd w:id="59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BodyText"/>
      </w:pPr>
    </w:p>
    <w:p>
      <w:pPr>
        <w:pStyle w:val="Heading2"/>
      </w:pPr>
      <w:bookmarkStart w:id="60" w:name="entrevista-al-paciente"/>
      <w:bookmarkEnd w:id="60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i/>
          <w:b/>
        </w:rPr>
        <w:t xml:space="preserve">Lugar de las tomas</w:t>
      </w:r>
      <w:r>
        <w:t xml:space="preserve">: 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 fin de semana (vino / 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br w:type="textWrapping"/>
      </w:r>
      <w:r>
        <w:rPr>
          <w:i/>
          <w:b/>
        </w:rPr>
        <w:t xml:space="preserve">Alimentos odiados</w:t>
      </w:r>
      <w:r>
        <w:t xml:space="preserve">: casquería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</w:t>
      </w:r>
      <w:r>
        <w:br w:type="textWrapping"/>
      </w:r>
      <w:r>
        <w:rPr>
          <w:i/>
          <w:b/>
        </w:rPr>
        <w:t xml:space="preserve">Cambios en el peso</w:t>
      </w:r>
      <w:r>
        <w:t xml:space="preserve">: Refiere ir aumentando de peso poco a poco en</w:t>
      </w:r>
      <w:r>
        <w:t xml:space="preserve"> </w:t>
      </w:r>
      <w:r>
        <w:t xml:space="preserve">el 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1" w:name="aspectos-sociales"/>
      <w:bookmarkEnd w:id="61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religiosos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 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 / temas</w:t>
      </w:r>
    </w:p>
    <w:p>
      <w:pPr>
        <w:pStyle w:val="BodyText"/>
      </w:pPr>
    </w:p>
    <w:p>
      <w:pPr>
        <w:pStyle w:val="Heading2"/>
      </w:pPr>
      <w:bookmarkStart w:id="62" w:name="recuento-alimentario-de-tres-días"/>
      <w:bookmarkEnd w:id="62"/>
      <w:r>
        <w:t xml:space="preserve">RECUENTO ALIMENTARIO DE TRES DÍAS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t xml:space="preserve"> </w:t>
      </w:r>
    </w:p>
    <w:p>
      <w:pPr>
        <w:pStyle w:val="Heading2"/>
      </w:pPr>
      <w:bookmarkStart w:id="63" w:name="diagnostico-e-intervención"/>
      <w:bookmarkEnd w:id="63"/>
      <w:r>
        <w:t xml:space="preserve">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4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4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64" w:name="dieta"/>
      <w:bookmarkEnd w:id="64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65" w:name="encuesta"/>
      <w:bookmarkEnd w:id="65"/>
      <w:r>
        <w:t xml:space="preserve">4.3 Encuesta</w:t>
      </w:r>
    </w:p>
    <w:p>
      <w:pPr>
        <w:pStyle w:val="Heading2"/>
      </w:pPr>
      <w:bookmarkStart w:id="66" w:name="síndrome-metabólico-en-españa-prevalencia-y-riesgo-coronario-asociado-a-la-definición-armonizada-y-a-la-propuesta-por-la-oms.-estudio-darios"/>
      <w:bookmarkEnd w:id="66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i/>
        </w:rPr>
        <w:t xml:space="preserve">DOI: 10.1016/j.recesp.2011.10.015</w:t>
      </w:r>
    </w:p>
    <w:p>
      <w:pPr>
        <w:pStyle w:val="BodyText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 (síndrome metabólico premórbido).</w:t>
      </w:r>
    </w:p>
    <w:p>
      <w:pPr>
        <w:pStyle w:val="BodyText"/>
      </w:pPr>
      <w:r>
        <w:t xml:space="preserve">Los criterios que se tienen en cuenta son:</w:t>
      </w:r>
      <w:r>
        <w:br w:type="textWrapping"/>
      </w:r>
      <w:r>
        <w:t xml:space="preserve">- obesidad abdominal</w:t>
      </w:r>
      <w:r>
        <w:br w:type="textWrapping"/>
      </w:r>
      <w:r>
        <w:t xml:space="preserve">- dislipemia</w:t>
      </w:r>
      <w:r>
        <w:br w:type="textWrapping"/>
      </w:r>
      <w:r>
        <w:t xml:space="preserve">- glucemia elevada y</w:t>
      </w:r>
      <w:r>
        <w:br w:type="textWrapping"/>
      </w:r>
      <w:r>
        <w:t xml:space="preserve">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</w:t>
      </w:r>
      <w:r>
        <w:br w:type="textWrapping"/>
      </w:r>
      <w:r>
        <w:t xml:space="preserve">- 32% en varones</w:t>
      </w:r>
      <w:r>
        <w:br w:type="textWrapping"/>
      </w:r>
      <w:r>
        <w:t xml:space="preserve">- 29% en mujeres</w:t>
      </w:r>
    </w:p>
    <w:p>
      <w:pPr>
        <w:pStyle w:val="BodyText"/>
      </w:pPr>
      <w:r>
        <w:t xml:space="preserve">La definición de SMP redujo la prevalencia en un 20% hasta dejarla en:</w:t>
      </w:r>
      <w:r>
        <w:br w:type="textWrapping"/>
      </w:r>
      <w:r>
        <w:t xml:space="preserve">- el 26% de los varones</w:t>
      </w:r>
      <w:r>
        <w:br w:type="textWrapping"/>
      </w:r>
      <w:r>
        <w:t xml:space="preserve">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Mujeres</w:t>
      </w:r>
      <w:r>
        <w:t xml:space="preserve">: eran más frecuentes los criterios de cintura abdominal y</w:t>
      </w:r>
      <w:r>
        <w:t xml:space="preserve"> </w:t>
      </w:r>
      <w:r>
        <w:t xml:space="preserve">de cHDL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Varones</w:t>
      </w:r>
      <w:r>
        <w:t xml:space="preserve">: fueron más frecuentes los de glucemia e</w:t>
      </w:r>
      <w:r>
        <w:t xml:space="preserve"> </w:t>
      </w:r>
      <w:r>
        <w:t xml:space="preserve">hipertrigliceridemia</w:t>
      </w:r>
      <w:r>
        <w:br w:type="textWrapping"/>
      </w:r>
      <w:r>
        <w:t xml:space="preserve">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</w:t>
      </w:r>
      <w:r>
        <w:t xml:space="preserve"> </w:t>
      </w:r>
      <w:r>
        <w:t xml:space="preserve">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  <w:r>
        <w:t xml:space="preserve">La aplicación del concepto SMP reduce la prevalencia hasta el 24% y</w:t>
      </w:r>
      <w:r>
        <w:t xml:space="preserve"> </w:t>
      </w:r>
      <w:r>
        <w:t xml:space="preserve">delimita una población más joven para aplicar prevención primaria de DM</w:t>
      </w:r>
      <w:r>
        <w:t xml:space="preserve"> </w:t>
      </w:r>
      <w:r>
        <w:t xml:space="preserve">y ECV.</w:t>
      </w:r>
    </w:p>
    <w:p>
      <w:pPr>
        <w:pStyle w:val="BodyText"/>
      </w:pPr>
    </w:p>
    <w:p>
      <w:pPr>
        <w:pStyle w:val="Heading2"/>
      </w:pPr>
      <w:bookmarkStart w:id="67" w:name="creación-empresa"/>
      <w:bookmarkEnd w:id="67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68" w:name="pasos-para-montar-la-empresa"/>
      <w:bookmarkEnd w:id="68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69" w:name="plan-dafo"/>
      <w:bookmarkEnd w:id="69"/>
      <w:r>
        <w:t xml:space="preserve">Plan DAFO</w:t>
      </w:r>
    </w:p>
    <w:p>
      <w:pPr>
        <w:pStyle w:val="Heading4"/>
      </w:pPr>
      <w:bookmarkStart w:id="70" w:name="debilidades"/>
      <w:bookmarkEnd w:id="70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1" w:name="amenazas"/>
      <w:bookmarkEnd w:id="71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2" w:name="fortalezas"/>
      <w:bookmarkEnd w:id="72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3" w:name="oportunidades"/>
      <w:bookmarkEnd w:id="73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4" w:name="plan-de-marketing"/>
      <w:bookmarkEnd w:id="74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75" w:name="plan-financiero"/>
      <w:bookmarkEnd w:id="75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76" w:name="plan-gastos-y-beneficios-de-la-empresa"/>
      <w:bookmarkEnd w:id="76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77" w:name="papeles-oficiales-para-gestionar-la-empresa-alta-en-la-seguridad-social-iae-licencia-del-ayuntamiento-para-la-apertura-etc."/>
      <w:bookmarkEnd w:id="77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78" w:name="resultados-paciente"/>
      <w:bookmarkEnd w:id="78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79" w:name="discusión"/>
      <w:bookmarkEnd w:id="79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0" w:name="conclusión"/>
      <w:bookmarkEnd w:id="80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1" w:name="bibliografía"/>
      <w:bookmarkEnd w:id="81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8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8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en España: prevalencia y riesgo coronario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asociado a la definición armonizada y a la propuesta por la OMS.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Estudio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DARIOS</w:t>
        </w:r>
      </w:hyperlink>
      <w:r>
        <w:t xml:space="preserve">.)</w:t>
      </w:r>
    </w:p>
    <w:p>
      <w:pPr>
        <w:pStyle w:val="FirstParagraph"/>
      </w:pPr>
    </w:p>
    <w:p>
      <w:pPr>
        <w:pStyle w:val="Heading1"/>
      </w:pPr>
      <w:bookmarkStart w:id="107" w:name="anexos"/>
      <w:bookmarkEnd w:id="107"/>
      <w:r>
        <w:t xml:space="preserve">Anexos</w:t>
      </w:r>
    </w:p>
    <w:p>
      <w:pPr>
        <w:pStyle w:val="Heading2"/>
      </w:pPr>
      <w:bookmarkStart w:id="108" w:name="abreviaturas"/>
      <w:bookmarkEnd w:id="108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</w:t>
      </w:r>
      <w:r>
        <w:br w:type="textWrapping"/>
      </w:r>
      <w:r>
        <w:t xml:space="preserve">RI: Resistencia a la insulina</w:t>
      </w:r>
      <w:r>
        <w:br w:type="textWrapping"/>
      </w:r>
      <w:r>
        <w:t xml:space="preserve">IMC: Índice de masa corporal</w:t>
      </w:r>
      <w:r>
        <w:br w:type="textWrapping"/>
      </w:r>
      <w:r>
        <w:t xml:space="preserve">DM2: Diabetes Mellitus tipo 2</w:t>
      </w:r>
      <w:r>
        <w:br w:type="textWrapping"/>
      </w:r>
      <w:r>
        <w:t xml:space="preserve">PAS: Presión arterial sistólica</w:t>
      </w:r>
      <w:r>
        <w:br w:type="textWrapping"/>
      </w:r>
      <w:r>
        <w:t xml:space="preserve">HAS: Hipertensión arterial sistémica</w:t>
      </w:r>
      <w:r>
        <w:br w:type="textWrapping"/>
      </w:r>
      <w:r>
        <w:t xml:space="preserve">EGIR: European Group for the Study of Insulin Resistance</w:t>
      </w:r>
      <w:r>
        <w:br w:type="textWrapping"/>
      </w:r>
      <w:r>
        <w:t xml:space="preserve">SMP: síndrome metabólico premórbido</w:t>
      </w:r>
    </w:p>
    <w:p>
      <w:pPr>
        <w:pStyle w:val="Heading2"/>
      </w:pPr>
      <w:bookmarkStart w:id="109" w:name="glosario"/>
      <w:bookmarkEnd w:id="109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br w:type="textWrapping"/>
      </w:r>
      <w:r>
        <w:rPr>
          <w:b/>
        </w:rPr>
        <w:t xml:space="preserve">Estado protrombótico</w:t>
      </w:r>
      <w:r>
        <w:t xml:space="preserve">: aumento del inhibidor de plasminógeno 1 y</w:t>
      </w:r>
      <w:r>
        <w:t xml:space="preserve"> </w:t>
      </w:r>
      <w:r>
        <w:t xml:space="preserve">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br w:type="textWrapping"/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0" w:name="evolución-histórica-de-los-criterios-del-síndrome-metabólico"/>
      <w:bookmarkEnd w:id="110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1" w:name="díptico"/>
      <w:bookmarkEnd w:id="111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82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f161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2" Target="media/rId112.png" /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2" Target="http://dspace.utalca.cl/handle/1950/4714" TargetMode="External" /><Relationship Type="http://schemas.openxmlformats.org/officeDocument/2006/relationships/hyperlink" Id="rId86" Target="http://hdl.handle.net/2183/16548" TargetMode="External" /><Relationship Type="http://schemas.openxmlformats.org/officeDocument/2006/relationships/hyperlink" Id="rId88" Target="http://scielo.isciii.es/scielo.php?script=sci_arttext&amp;pid=S0212-16112017000500013&amp;lng=es&amp;nrm=iso" TargetMode="External" /><Relationship Type="http://schemas.openxmlformats.org/officeDocument/2006/relationships/hyperlink" Id="rId84" Target="http://scielo.isciii.es/scielo.php?script=sci_arttext&amp;pid=S1137-66272016000200009&amp;lng=es&amp;nrm=iso" TargetMode="External" /><Relationship Type="http://schemas.openxmlformats.org/officeDocument/2006/relationships/hyperlink" Id="rId82" Target="http://scielo.sld.cu/scielo.php?script=sci_arttext&amp;pid=S1561-29532006000300006" TargetMode="External" /><Relationship Type="http://schemas.openxmlformats.org/officeDocument/2006/relationships/hyperlink" Id="rId87" Target="http://ve.scielo.org/scielo.php?script=sci_arttext&amp;pid=S0048-77322011000200002&amp;lng=es&amp;nrm=iso" TargetMode="External" /><Relationship Type="http://schemas.openxmlformats.org/officeDocument/2006/relationships/hyperlink" Id="rId85" Target="http://ve.scielo.org/scielo.php?script=sci_arttext&amp;pid=S0798-07522007000200006" TargetMode="External" /><Relationship Type="http://schemas.openxmlformats.org/officeDocument/2006/relationships/hyperlink" Id="rId105" Target="http://www.scielo.org.co/pdf/rcca/v28n1/0120-5633-rcca-28-1-60.pdf" TargetMode="External" /><Relationship Type="http://schemas.openxmlformats.org/officeDocument/2006/relationships/hyperlink" Id="rId99" Target="http://www.scielo.org.pe/scielo.php?script=sci_arttext&amp;pid=S1025-55832020000100092&amp;lng=es" TargetMode="External" /><Relationship Type="http://schemas.openxmlformats.org/officeDocument/2006/relationships/hyperlink" Id="rId91" Target="https://doi.org/10.1373/clinchem.2005.048611" TargetMode="External" /><Relationship Type="http://schemas.openxmlformats.org/officeDocument/2006/relationships/hyperlink" Id="rId94" Target="https://isanidad.com/67663/la-falta-de-sueno-puede-disminuir-el-colesterol-bueno/" TargetMode="External" /><Relationship Type="http://schemas.openxmlformats.org/officeDocument/2006/relationships/hyperlink" Id="rId96" Target="https://middlesexhealth.org/learning-center/espanol/enfermedades-y-afecciones/s-ndrome-metab-lico" TargetMode="External" /><Relationship Type="http://schemas.openxmlformats.org/officeDocument/2006/relationships/hyperlink" Id="rId93" Target="https://ruc.udc.es/dspace/handle/2183/16548" TargetMode="External" /><Relationship Type="http://schemas.openxmlformats.org/officeDocument/2006/relationships/hyperlink" Id="rId100" Target="https://scielo.isciii.es/scielo.php?script=sci_arttext&amp;pid=S0212-16112017000500013" TargetMode="External" /><Relationship Type="http://schemas.openxmlformats.org/officeDocument/2006/relationships/hyperlink" Id="rId103" Target="https://scielo.isciii.es/scielo.php?script=sci_arttext&amp;pid=S0212-71992008000700003" TargetMode="External" /><Relationship Type="http://schemas.openxmlformats.org/officeDocument/2006/relationships/hyperlink" Id="rId95" Target="https://www.cun.es/enfermedades-tratamientos/enfermedades/sindrome-metabolico" TargetMode="External" /><Relationship Type="http://schemas.openxmlformats.org/officeDocument/2006/relationships/hyperlink" Id="rId10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4" Target="https://www.flasog.org/static/academica/Sindrome-Metabolico.pdf" TargetMode="External" /><Relationship Type="http://schemas.openxmlformats.org/officeDocument/2006/relationships/hyperlink" Id="rId97" Target="https://www.mayoclinic.org/es-es/diseases-conditions/metabolic-syndrome/diagnosis-treatment/drc-20351921" TargetMode="External" /><Relationship Type="http://schemas.openxmlformats.org/officeDocument/2006/relationships/hyperlink" Id="rId98" Target="https://www.mayoclinic.org/es-es/diseases-conditions/metabolic-syndrome/symptoms-causes/syc-20351916" TargetMode="External" /><Relationship Type="http://schemas.openxmlformats.org/officeDocument/2006/relationships/hyperlink" Id="rId101" Target="https://www.pediatriaintegral.es/publicacion-2015-07/sindrome-metabolico/" TargetMode="External" /><Relationship Type="http://schemas.openxmlformats.org/officeDocument/2006/relationships/hyperlink" Id="rId8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106" Target="https://www.revespcardiol.org/es-sindrome-metabolico-espana-prevalencia-riesgo-articulo-S0300893211008840#:~:text=El%20riesgo%20coronario%20se%20estim%C3%B3%20con%20la%20funci%C3%B3n%20REGICOR.&amp;text=La%20prevalencia%20de%20s%C3%ADndrome%20metab%C3%B3lico,%2C%2029%2D35%25" TargetMode="External" /><Relationship Type="http://schemas.openxmlformats.org/officeDocument/2006/relationships/hyperlink" Id="rId8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2022-04-24T21:10:49Z</dcterms:created>
  <dcterms:modified xsi:type="dcterms:W3CDTF">2022-04-24T21:10:49Z</dcterms:modified>
</cp:coreProperties>
</file>