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SM en la 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54" w:name="pasos-para-montar-la-empresa"/>
      <w:bookmarkEnd w:id="5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55" w:name="plan-dafo"/>
      <w:bookmarkEnd w:id="55"/>
      <w:r>
        <w:t xml:space="preserve">Plan DAFO</w:t>
      </w:r>
    </w:p>
    <w:p>
      <w:pPr>
        <w:pStyle w:val="Heading4"/>
      </w:pPr>
      <w:bookmarkStart w:id="56" w:name="debilidades"/>
      <w:bookmarkEnd w:id="56"/>
      <w:r>
        <w:t xml:space="preserve">Debilidades</w:t>
      </w:r>
    </w:p>
    <w:p>
      <w:pPr>
        <w:pStyle w:val="Compact"/>
        <w:numPr>
          <w:numId w:val="1034"/>
          <w:ilvl w:val="0"/>
        </w:numPr>
      </w:pPr>
      <w:r>
        <w:t xml:space="preserve">Empresa desconocida.</w:t>
      </w:r>
    </w:p>
    <w:p>
      <w:pPr>
        <w:pStyle w:val="Compact"/>
        <w:numPr>
          <w:numId w:val="1034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35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35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35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57" w:name="amenazas"/>
      <w:bookmarkEnd w:id="57"/>
      <w:r>
        <w:t xml:space="preserve">Amenazas</w:t>
      </w:r>
    </w:p>
    <w:p>
      <w:pPr>
        <w:pStyle w:val="Compact"/>
        <w:numPr>
          <w:numId w:val="1036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36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36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37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37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37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58" w:name="fortalezas"/>
      <w:bookmarkEnd w:id="58"/>
      <w:r>
        <w:t xml:space="preserve">Fortalezas</w:t>
      </w:r>
    </w:p>
    <w:p>
      <w:pPr>
        <w:pStyle w:val="Compact"/>
        <w:numPr>
          <w:numId w:val="1038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38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38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38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38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38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38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39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39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59" w:name="oportunidades"/>
      <w:bookmarkEnd w:id="59"/>
      <w:r>
        <w:t xml:space="preserve">Oportunidades</w:t>
      </w:r>
    </w:p>
    <w:p>
      <w:pPr>
        <w:pStyle w:val="Compact"/>
        <w:numPr>
          <w:numId w:val="1040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40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41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0" w:name="plan-de-marketing"/>
      <w:bookmarkEnd w:id="6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1" w:name="plan-financiero"/>
      <w:bookmarkEnd w:id="6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2" w:name="plan-gastos-y-beneficios-de-la-empresa"/>
      <w:bookmarkEnd w:id="6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3" w:name="papeles-oficiales-para-gestionar-la-empresa-alta-en-la-seguridad-social-iae-licencia-del-ayuntamiento-para-la-apertura-etc."/>
      <w:bookmarkEnd w:id="6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64" w:name="paciente"/>
      <w:bookmarkEnd w:id="64"/>
      <w:r>
        <w:t xml:space="preserve">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42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42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Heading3"/>
      </w:pPr>
      <w:bookmarkStart w:id="65" w:name="objetivos-1"/>
      <w:bookmarkEnd w:id="65"/>
      <w:r>
        <w:t xml:space="preserve">Objetivos</w:t>
      </w:r>
    </w:p>
    <w:p>
      <w:pPr>
        <w:pStyle w:val="FirstParagraph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Heading1"/>
      </w:pPr>
      <w:bookmarkStart w:id="66" w:name="dieta"/>
      <w:bookmarkEnd w:id="66"/>
      <w:r>
        <w:t xml:space="preserve">dieta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1"/>
      </w:pPr>
      <w:bookmarkStart w:id="67" w:name="resultados"/>
      <w:bookmarkEnd w:id="67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43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  <w:r>
        <w:br w:type="textWrapping"/>
      </w:r>
    </w:p>
    <w:p>
      <w:pPr>
        <w:pStyle w:val="Compact"/>
        <w:numPr>
          <w:numId w:val="1043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68" w:name="discusión"/>
      <w:bookmarkEnd w:id="68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Hay estudios que dicen que la utilización de los factores de riesgo</w:t>
      </w:r>
      <w:r>
        <w:t xml:space="preserve"> </w:t>
      </w:r>
      <w:r>
        <w:t xml:space="preserve">cardiovasculares (FRCV) es suficiente para prevenir el riesgo</w:t>
      </w:r>
      <w:r>
        <w:t xml:space="preserve"> </w:t>
      </w:r>
      <w:r>
        <w:t xml:space="preserve">cardiovascular en las personas, por lo cual no consideran necesario</w:t>
      </w:r>
      <w:r>
        <w:t xml:space="preserve"> </w:t>
      </w:r>
      <w:r>
        <w:t xml:space="preserve">acudir a la aplicación de las guías de SM.</w:t>
      </w:r>
    </w:p>
    <w:p>
      <w:pPr>
        <w:pStyle w:val="BodyText"/>
      </w:pPr>
      <w:r>
        <w:t xml:space="preserve">Por otro lado, se ha demostrado que la prevalencia del SM varía de</w:t>
      </w:r>
      <w:r>
        <w:t xml:space="preserve"> </w:t>
      </w:r>
      <w:r>
        <w:t xml:space="preserve">acuerdo a la guía que se utilice, en consecuencia, no se llega a conocer</w:t>
      </w:r>
      <w:r>
        <w:t xml:space="preserve"> </w:t>
      </w:r>
      <w:r>
        <w:t xml:space="preserve">la real magnitud del problema. Por ejemplo, la concepción original de</w:t>
      </w:r>
      <w:r>
        <w:t xml:space="preserve"> </w:t>
      </w:r>
      <w:r>
        <w:t xml:space="preserve">Reaven considera a la RI como el factor inicial y fundamental del</w:t>
      </w:r>
      <w:r>
        <w:t xml:space="preserve"> </w:t>
      </w:r>
      <w:r>
        <w:t xml:space="preserve">denominado síndrome X; sin embargo, sólo la OMS y el grupo de estudio</w:t>
      </w:r>
      <w:r>
        <w:t xml:space="preserve"> </w:t>
      </w:r>
      <w:r>
        <w:t xml:space="preserve">EGIR lo toman en cuenta.</w:t>
      </w:r>
    </w:p>
    <w:p>
      <w:pPr>
        <w:pStyle w:val="BodyText"/>
      </w:pP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4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  <w:r>
        <w:t xml:space="preserve"> </w:t>
      </w:r>
    </w:p>
    <w:p>
      <w:pPr>
        <w:pStyle w:val="Heading1"/>
      </w:pPr>
      <w:bookmarkStart w:id="69" w:name="conclusión"/>
      <w:bookmarkEnd w:id="69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 la ingesta de calorías y el</w:t>
      </w:r>
      <w:r>
        <w:t xml:space="preserve"> </w:t>
      </w:r>
      <w:r>
        <w:t xml:space="preserve">gasto energético, pero también se ve afectado por la composición</w:t>
      </w:r>
      <w:r>
        <w:t xml:space="preserve"> </w:t>
      </w:r>
      <w:r>
        <w:t xml:space="preserve">genética del individuo, el predominio del estilo de vida sedentario</w:t>
      </w:r>
      <w:r>
        <w:t xml:space="preserve"> </w:t>
      </w:r>
      <w:r>
        <w:t xml:space="preserve">sobre la actividad física y otros factores como el microbiota intestinal</w:t>
      </w:r>
      <w:r>
        <w:t xml:space="preserve"> </w:t>
      </w:r>
      <w:r>
        <w:t xml:space="preserve">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pero hay que señalar que sólo en el 10% tiene un origen</w:t>
      </w:r>
      <w:r>
        <w:t xml:space="preserve"> </w:t>
      </w:r>
      <w:r>
        <w:t xml:space="preserve">genético por lo será muy importante la educación de la población y la</w:t>
      </w:r>
      <w:r>
        <w:t xml:space="preserve"> </w:t>
      </w:r>
      <w:r>
        <w:t xml:space="preserve">implicación de las distintas instituciones para la elaboración de un</w:t>
      </w:r>
      <w:r>
        <w:t xml:space="preserve"> </w:t>
      </w:r>
      <w:r>
        <w:t xml:space="preserve">plan de educación y prevención de este síndrome que representa ya un</w:t>
      </w:r>
      <w:r>
        <w:t xml:space="preserve"> </w:t>
      </w:r>
      <w:r>
        <w:t xml:space="preserve">problema de salud 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se sabe que las pérdidas entre 5/10 Kg han</w:t>
      </w:r>
      <w:r>
        <w:t xml:space="preserve"> </w:t>
      </w:r>
      <w:r>
        <w:t xml:space="preserve">demostrado ser efectivas en la mejora de todas las patologías</w:t>
      </w:r>
      <w:r>
        <w:t xml:space="preserve"> </w:t>
      </w:r>
      <w:r>
        <w:t xml:space="preserve">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industrial,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 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 y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los factores sociales, culturales y</w:t>
      </w:r>
      <w:r>
        <w:t xml:space="preserve"> </w:t>
      </w:r>
      <w:r>
        <w:t xml:space="preserve">económicos y como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países están adquiriendo estilos de</w:t>
      </w:r>
      <w:r>
        <w:t xml:space="preserve"> </w:t>
      </w:r>
      <w:r>
        <w:t xml:space="preserve">vida cada vez más parecidos a los occidentales, disminuyendo la</w:t>
      </w:r>
      <w:r>
        <w:t xml:space="preserve"> </w:t>
      </w:r>
      <w:r>
        <w:t xml:space="preserve">actividad física y teniendo un consumo elevado de alimentos con alta</w:t>
      </w:r>
      <w:r>
        <w:t xml:space="preserve"> </w:t>
      </w:r>
      <w:r>
        <w:t xml:space="preserve">densidad 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</w:t>
      </w:r>
    </w:p>
    <w:p>
      <w:pPr>
        <w:pStyle w:val="BodyText"/>
      </w:pPr>
      <w:r>
        <w:t xml:space="preserve">Es decir, que una persona pobre en un país pobre sufre escasez de</w:t>
      </w:r>
      <w:r>
        <w:t xml:space="preserve"> </w:t>
      </w:r>
      <w:r>
        <w:t xml:space="preserve">alimentos sumado a un incremento en el gasto energético relacionado con</w:t>
      </w:r>
      <w:r>
        <w:t xml:space="preserve"> </w:t>
      </w:r>
      <w:r>
        <w:t xml:space="preserve">el trabajo manual; en cambio, una persona pobre en un país de ingresos</w:t>
      </w:r>
      <w:r>
        <w:t xml:space="preserve"> </w:t>
      </w:r>
      <w:r>
        <w:t xml:space="preserve">medios se expone a una abundancia de alimentos de mala calidad</w:t>
      </w:r>
      <w:r>
        <w:t xml:space="preserve"> </w:t>
      </w:r>
      <w:r>
        <w:t xml:space="preserve">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mayor acceso a alimentos de mejor calidad y más tiempo libre para</w:t>
      </w:r>
      <w:r>
        <w:t xml:space="preserve"> </w:t>
      </w:r>
      <w:r>
        <w:t xml:space="preserve">dedicarle a 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pérdida para reducir todos los factores que engloban el SM, incluida la</w:t>
      </w:r>
      <w:r>
        <w:t xml:space="preserve"> </w:t>
      </w:r>
      <w:r>
        <w:t xml:space="preserve">DM2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0" w:name="bibliografía"/>
      <w:bookmarkEnd w:id="70"/>
      <w:r>
        <w:t xml:space="preserve">Bibliografía</w:t>
      </w:r>
    </w:p>
    <w:p>
      <w:pPr>
        <w:pStyle w:val="Compact"/>
        <w:numPr>
          <w:numId w:val="1045"/>
          <w:ilvl w:val="0"/>
        </w:numPr>
      </w:pPr>
      <w:hyperlink r:id="rId71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5"/>
          <w:ilvl w:val="0"/>
        </w:numPr>
      </w:pPr>
      <w:hyperlink r:id="rId72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5"/>
          <w:ilvl w:val="0"/>
        </w:numPr>
      </w:pPr>
      <w:hyperlink r:id="rId73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5"/>
          <w:ilvl w:val="0"/>
        </w:numPr>
      </w:pPr>
      <w:hyperlink r:id="rId74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5"/>
          <w:ilvl w:val="0"/>
        </w:numPr>
      </w:pPr>
      <w:hyperlink r:id="rId7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5"/>
          <w:ilvl w:val="0"/>
        </w:numPr>
      </w:pPr>
      <w:hyperlink r:id="rId76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5"/>
          <w:ilvl w:val="0"/>
        </w:numPr>
      </w:pPr>
      <w:hyperlink r:id="rId7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5"/>
          <w:ilvl w:val="0"/>
        </w:numPr>
      </w:pPr>
      <w:hyperlink r:id="rId78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46"/>
          <w:ilvl w:val="0"/>
        </w:numPr>
      </w:pPr>
      <w:hyperlink r:id="rId79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46"/>
          <w:ilvl w:val="0"/>
        </w:numPr>
      </w:pPr>
      <w:hyperlink r:id="rId80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46"/>
          <w:ilvl w:val="0"/>
        </w:numPr>
      </w:pPr>
      <w:hyperlink r:id="rId81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46"/>
          <w:ilvl w:val="0"/>
        </w:numPr>
      </w:pPr>
      <w:hyperlink r:id="rId8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46"/>
          <w:ilvl w:val="0"/>
        </w:numPr>
      </w:pPr>
      <w:hyperlink r:id="rId83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46"/>
          <w:ilvl w:val="0"/>
        </w:numPr>
      </w:pPr>
      <w:hyperlink r:id="rId84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46"/>
          <w:ilvl w:val="0"/>
        </w:numPr>
      </w:pPr>
      <w:hyperlink r:id="rId85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46"/>
          <w:ilvl w:val="0"/>
        </w:numPr>
      </w:pPr>
      <w:hyperlink r:id="rId86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46"/>
          <w:ilvl w:val="0"/>
        </w:numPr>
      </w:pPr>
      <w:hyperlink r:id="rId87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46"/>
          <w:ilvl w:val="0"/>
        </w:numPr>
      </w:pPr>
      <w:hyperlink r:id="rId88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46"/>
          <w:ilvl w:val="0"/>
        </w:numPr>
      </w:pPr>
      <w:hyperlink r:id="rId8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46"/>
          <w:ilvl w:val="0"/>
        </w:numPr>
      </w:pPr>
      <w:hyperlink r:id="rId90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46"/>
          <w:ilvl w:val="0"/>
        </w:numPr>
      </w:pPr>
      <w:hyperlink r:id="rId91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46"/>
          <w:ilvl w:val="0"/>
        </w:numPr>
      </w:pPr>
      <w:hyperlink r:id="rId92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46"/>
          <w:ilvl w:val="0"/>
        </w:numPr>
      </w:pPr>
      <w:hyperlink r:id="rId93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94" w:name="anexos"/>
      <w:bookmarkEnd w:id="94"/>
      <w:r>
        <w:t xml:space="preserve">Anexos</w:t>
      </w:r>
    </w:p>
    <w:p>
      <w:pPr>
        <w:pStyle w:val="Heading2"/>
      </w:pPr>
      <w:bookmarkStart w:id="95" w:name="vocabulario"/>
      <w:bookmarkEnd w:id="9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  <w:r>
        <w:br w:type="textWrapping"/>
      </w:r>
      <w:r>
        <w:t xml:space="preserve">acantosis nigricans: trastorno de la piel que se caracteriza por zonas</w:t>
      </w:r>
      <w:r>
        <w:t xml:space="preserve"> </w:t>
      </w:r>
      <w:r>
        <w:t xml:space="preserve">de la piel oscuras, con cambios de color aterciopelados en los pliegues</w:t>
      </w:r>
      <w:r>
        <w:t xml:space="preserve"> </w:t>
      </w:r>
      <w:r>
        <w:t xml:space="preserve">y en los surcos. La piel aceptada se puede engrosar. En la mayoría de</w:t>
      </w:r>
      <w:r>
        <w:t xml:space="preserve"> </w:t>
      </w:r>
      <w:r>
        <w:t xml:space="preserve">los casos la acantosis pigmentaria afecta a las axilas, ingle, cuello.</w:t>
      </w:r>
      <w:r>
        <w:t xml:space="preserve"> </w:t>
      </w:r>
      <w:r>
        <w:t xml:space="preserve">Suele aparecer en personas obesas o con diabetes.</w:t>
      </w:r>
    </w:p>
    <w:p>
      <w:pPr>
        <w:pStyle w:val="Heading2"/>
      </w:pPr>
      <w:bookmarkStart w:id="96" w:name="abreviaturas"/>
      <w:bookmarkEnd w:id="9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97" w:name="ficha-dietética-del-paciente"/>
      <w:bookmarkEnd w:id="97"/>
      <w:r>
        <w:t xml:space="preserve">Ficha dietética del paciente</w:t>
      </w:r>
    </w:p>
    <w:p>
      <w:pPr>
        <w:pStyle w:val="Heading3"/>
      </w:pPr>
      <w:bookmarkStart w:id="98" w:name="datos-administrativos"/>
      <w:bookmarkEnd w:id="98"/>
      <w:r>
        <w:t xml:space="preserve">DATOS ADMINISTRATIVOS</w:t>
      </w:r>
    </w:p>
    <w:p>
      <w:pPr>
        <w:pStyle w:val="FirstParagraph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Heading3"/>
      </w:pPr>
      <w:bookmarkStart w:id="99" w:name="anamnesis"/>
      <w:bookmarkEnd w:id="99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47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47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8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8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Heading3"/>
      </w:pPr>
      <w:bookmarkStart w:id="100" w:name="antropometría"/>
      <w:bookmarkEnd w:id="100"/>
      <w:r>
        <w:t xml:space="preserve">ANTROPOMETRÍA</w:t>
      </w:r>
    </w:p>
    <w:p>
      <w:pPr>
        <w:pStyle w:val="FirstParagraph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Heading3"/>
      </w:pPr>
      <w:bookmarkStart w:id="101" w:name="bioquímica"/>
      <w:bookmarkEnd w:id="101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102" w:name="exploración-física-y-preguntas"/>
      <w:bookmarkEnd w:id="102"/>
      <w:r>
        <w:t xml:space="preserve">EXPLORACIÓN FÍSICA Y PREGUNTAS</w:t>
      </w:r>
    </w:p>
    <w:p>
      <w:pPr>
        <w:pStyle w:val="FirstParagraph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Heading3"/>
      </w:pPr>
      <w:bookmarkStart w:id="103" w:name="entrevista-al-paciente"/>
      <w:bookmarkEnd w:id="103"/>
      <w:r>
        <w:t xml:space="preserve">ENTREVISTA AL PACIENTE</w:t>
      </w:r>
    </w:p>
    <w:p>
      <w:pPr>
        <w:pStyle w:val="FirstParagraph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Heading3"/>
      </w:pPr>
      <w:bookmarkStart w:id="104" w:name="aspectos-sociales"/>
      <w:bookmarkEnd w:id="104"/>
      <w:r>
        <w:t xml:space="preserve">ASPECTOS SOCIALES</w:t>
      </w:r>
    </w:p>
    <w:p>
      <w:pPr>
        <w:pStyle w:val="FirstParagraph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Heading3"/>
      </w:pPr>
      <w:bookmarkStart w:id="105" w:name="recuento-alimentario-de-tres-días"/>
      <w:bookmarkEnd w:id="105"/>
      <w:r>
        <w:t xml:space="preserve">RECUENTO ALIMENTARIO DE TRES DÍAS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DIA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50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51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106" w:name="primer-diagnostico-e-intervención"/>
      <w:bookmarkEnd w:id="106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52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52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52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A petición suya se realizará una dieta en la que no tenga que pesar la</w:t>
      </w:r>
      <w:r>
        <w:t xml:space="preserve"> </w:t>
      </w:r>
      <w:r>
        <w:t xml:space="preserve">comida puesto que manifiesta que no le es posible realizar una dieta de</w:t>
      </w:r>
      <w:r>
        <w:t xml:space="preserve"> </w:t>
      </w:r>
      <w:r>
        <w:t xml:space="preserve">esas características.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de la dieta el picoteo entre horas, el alcohol y la bollería</w:t>
      </w:r>
      <w:r>
        <w:t xml:space="preserve"> </w:t>
      </w:r>
      <w:r>
        <w:t xml:space="preserve">haciendo especial hincapié en la bollería de tipo industrial que tomaba</w:t>
      </w:r>
      <w:r>
        <w:t xml:space="preserve"> </w:t>
      </w:r>
      <w:r>
        <w:t xml:space="preserve">a media 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Se realiza menú de plato único (Plato de Oxford). Se hace recomendación</w:t>
      </w:r>
      <w:r>
        <w:t xml:space="preserve"> </w:t>
      </w:r>
      <w:r>
        <w:t xml:space="preserve">de dividir el plato en tres partes: 1/2 de vegetales (salteados, cocidos</w:t>
      </w:r>
      <w:r>
        <w:t xml:space="preserve"> </w:t>
      </w:r>
      <w:r>
        <w:t xml:space="preserve">o en ensaladas); ¼ de proteínas (carne de ave, cerdo y alguna vez filete</w:t>
      </w:r>
      <w:r>
        <w:t xml:space="preserve"> </w:t>
      </w:r>
      <w:r>
        <w:t xml:space="preserve">de ternera, huevos y pescado de preferencia) normalmente a la plancha; ¼</w:t>
      </w:r>
      <w:r>
        <w:t xml:space="preserve"> </w:t>
      </w:r>
      <w:r>
        <w:t xml:space="preserve">de HdC (arroz o tubérculos, raramente pasta). En ocasiones se compone</w:t>
      </w:r>
      <w:r>
        <w:t xml:space="preserve"> </w:t>
      </w:r>
      <w:r>
        <w:t xml:space="preserve">plato mitad vegetales mitad proteínas.</w:t>
      </w:r>
    </w:p>
    <w:p>
      <w:pPr>
        <w:pStyle w:val="BodyText"/>
      </w:pPr>
      <w:r>
        <w:t xml:space="preserve">No se pesa la comida. Se recomienda que utilice un plato de tamaño</w:t>
      </w:r>
      <w:r>
        <w:t xml:space="preserve"> </w:t>
      </w:r>
      <w:r>
        <w:t xml:space="preserve">normal, ni grande ni pequeño.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107" w:name="menú-tipo-semanal"/>
      <w:bookmarkEnd w:id="107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53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53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53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54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54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54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55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55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55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55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55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55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55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56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56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56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57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57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57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57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57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57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57"/>
          <w:ilvl w:val="0"/>
        </w:numPr>
      </w:pPr>
      <w:r>
        <w:t xml:space="preserve">Merluza cocida + patata + guisantes</w:t>
      </w:r>
    </w:p>
    <w:p>
      <w:pPr>
        <w:pStyle w:val="Heading3"/>
      </w:pPr>
      <w:bookmarkStart w:id="108" w:name="recomendaciones"/>
      <w:bookmarkEnd w:id="108"/>
      <w:r>
        <w:t xml:space="preserve">RECOMENDACIONES</w:t>
      </w:r>
    </w:p>
    <w:p>
      <w:pPr>
        <w:pStyle w:val="Compact"/>
        <w:numPr>
          <w:numId w:val="1058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 *Productos lácteos procurar no acompañarlos</w:t>
      </w:r>
      <w:r>
        <w:t xml:space="preserve"> </w:t>
      </w:r>
      <w:r>
        <w:t xml:space="preserve">con café o té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Beber 1,5 a 2 litros de agua al día sola o en infusión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  <w:r>
        <w:br w:type="textWrapping"/>
      </w:r>
    </w:p>
    <w:p>
      <w:pPr>
        <w:pStyle w:val="Compact"/>
        <w:numPr>
          <w:numId w:val="1058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59"/>
          <w:ilvl w:val="0"/>
        </w:numPr>
      </w:pPr>
      <w:r>
        <w:t xml:space="preserve">Una cucharada de aceite = 15 gr.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Rebanada de pan de unos dos dedos de grosor = 30 grs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6 cucharadas soperas de avena = 30 grs.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Una cucharada de Arroz en crudo = 20 gr,</w:t>
      </w:r>
      <w:r>
        <w:br w:type="textWrapping"/>
      </w:r>
    </w:p>
    <w:p>
      <w:pPr>
        <w:pStyle w:val="Compact"/>
        <w:numPr>
          <w:numId w:val="1059"/>
          <w:ilvl w:val="0"/>
        </w:numPr>
      </w:pPr>
      <w:r>
        <w:t xml:space="preserve">Arroz ¾ de taza cocido = 30 grs</w:t>
      </w:r>
    </w:p>
    <w:p>
      <w:pPr>
        <w:pStyle w:val="FirstParagraph"/>
      </w:pPr>
      <w:r>
        <w:rPr>
          <w:b/>
        </w:rPr>
        <w:t xml:space="preserve">RESULTADOS</w:t>
      </w:r>
    </w:p>
    <w:p>
      <w:pPr>
        <w:pStyle w:val="BodyText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60"/>
          <w:ilvl w:val="0"/>
        </w:numPr>
      </w:pPr>
      <w:r>
        <w:t xml:space="preserve">Encontrarse mejor físicamente.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Dormir mejor.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Manifiesta encontrarse más alegre y con mejor ánimo.</w:t>
      </w:r>
      <w:r>
        <w:br w:type="textWrapping"/>
      </w:r>
    </w:p>
    <w:p>
      <w:pPr>
        <w:pStyle w:val="Compact"/>
        <w:numPr>
          <w:numId w:val="1060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Dice que en general el balance es muy positivo y de encuentra muy</w:t>
      </w:r>
      <w:r>
        <w:t xml:space="preserve"> </w:t>
      </w:r>
      <w:r>
        <w:t xml:space="preserve">contenta con los resultados.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0792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dd5d5f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f70c4e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81" Target="http://dspace.utalca.cl/handle/1950/4714" TargetMode="External" /><Relationship Type="http://schemas.openxmlformats.org/officeDocument/2006/relationships/hyperlink" Id="rId75" Target="http://hdl.handle.net/2183/16548" TargetMode="External" /><Relationship Type="http://schemas.openxmlformats.org/officeDocument/2006/relationships/hyperlink" Id="rId77" Target="http://scielo.isciii.es/scielo.php?script=sci_arttext&amp;pid=S0212-16112017000500013&amp;lng=es&amp;nrm=iso" TargetMode="External" /><Relationship Type="http://schemas.openxmlformats.org/officeDocument/2006/relationships/hyperlink" Id="rId73" Target="http://scielo.isciii.es/scielo.php?script=sci_arttext&amp;pid=S1137-66272016000200009&amp;lng=es&amp;nrm=iso" TargetMode="External" /><Relationship Type="http://schemas.openxmlformats.org/officeDocument/2006/relationships/hyperlink" Id="rId71" Target="http://scielo.sld.cu/scielo.php?script=sci_arttext&amp;pid=S1561-29532006000300006" TargetMode="External" /><Relationship Type="http://schemas.openxmlformats.org/officeDocument/2006/relationships/hyperlink" Id="rId76" Target="http://ve.scielo.org/scielo.php?script=sci_arttext&amp;pid=S0048-77322011000200002&amp;lng=es&amp;nrm=iso" TargetMode="External" /><Relationship Type="http://schemas.openxmlformats.org/officeDocument/2006/relationships/hyperlink" Id="rId74" Target="http://ve.scielo.org/scielo.php?script=sci_arttext&amp;pid=S0798-07522007000200006" TargetMode="External" /><Relationship Type="http://schemas.openxmlformats.org/officeDocument/2006/relationships/hyperlink" Id="rId88" Target="http://www.scielo.org.pe/scielo.php?script=sci_arttext&amp;pid=S1025-55832020000100092&amp;lng=es" TargetMode="External" /><Relationship Type="http://schemas.openxmlformats.org/officeDocument/2006/relationships/hyperlink" Id="rId80" Target="https://doi.org/10.1373/clinchem.2005.048611" TargetMode="External" /><Relationship Type="http://schemas.openxmlformats.org/officeDocument/2006/relationships/hyperlink" Id="rId83" Target="https://isanidad.com/67663/la-falta-de-sueno-puede-disminuir-el-colesterol-bueno/" TargetMode="External" /><Relationship Type="http://schemas.openxmlformats.org/officeDocument/2006/relationships/hyperlink" Id="rId85" Target="https://middlesexhealth.org/learning-center/espanol/enfermedades-y-afecciones/s-ndrome-metab-lico" TargetMode="External" /><Relationship Type="http://schemas.openxmlformats.org/officeDocument/2006/relationships/hyperlink" Id="rId82" Target="https://ruc.udc.es/dspace/handle/2183/16548" TargetMode="External" /><Relationship Type="http://schemas.openxmlformats.org/officeDocument/2006/relationships/hyperlink" Id="rId89" Target="https://scielo.isciii.es/scielo.php?script=sci_arttext&amp;pid=S0212-16112017000500013" TargetMode="External" /><Relationship Type="http://schemas.openxmlformats.org/officeDocument/2006/relationships/hyperlink" Id="rId92" Target="https://scielo.isciii.es/scielo.php?script=sci_arttext&amp;pid=S0212-71992008000700003" TargetMode="External" /><Relationship Type="http://schemas.openxmlformats.org/officeDocument/2006/relationships/hyperlink" Id="rId84" Target="https://www.cun.es/enfermedades-tratamientos/enfermedades/sindrome-metabolico" TargetMode="External" /><Relationship Type="http://schemas.openxmlformats.org/officeDocument/2006/relationships/hyperlink" Id="rId9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3" Target="https://www.flasog.org/static/academica/Sindrome-Metabolico.pdf" TargetMode="External" /><Relationship Type="http://schemas.openxmlformats.org/officeDocument/2006/relationships/hyperlink" Id="rId86" Target="https://www.mayoclinic.org/es-es/diseases-conditions/metabolic-syndrome/diagnosis-treatment/drc-20351921" TargetMode="External" /><Relationship Type="http://schemas.openxmlformats.org/officeDocument/2006/relationships/hyperlink" Id="rId87" Target="https://www.mayoclinic.org/es-es/diseases-conditions/metabolic-syndrome/symptoms-causes/syc-20351916" TargetMode="External" /><Relationship Type="http://schemas.openxmlformats.org/officeDocument/2006/relationships/hyperlink" Id="rId90" Target="https://www.pediatriaintegral.es/publicacion-2015-07/sindrome-metabolico/" TargetMode="External" /><Relationship Type="http://schemas.openxmlformats.org/officeDocument/2006/relationships/hyperlink" Id="rId72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8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81" Target="http://dspace.utalca.cl/handle/1950/4714" TargetMode="External" /><Relationship Type="http://schemas.openxmlformats.org/officeDocument/2006/relationships/hyperlink" Id="rId75" Target="http://hdl.handle.net/2183/16548" TargetMode="External" /><Relationship Type="http://schemas.openxmlformats.org/officeDocument/2006/relationships/hyperlink" Id="rId77" Target="http://scielo.isciii.es/scielo.php?script=sci_arttext&amp;pid=S0212-16112017000500013&amp;lng=es&amp;nrm=iso" TargetMode="External" /><Relationship Type="http://schemas.openxmlformats.org/officeDocument/2006/relationships/hyperlink" Id="rId73" Target="http://scielo.isciii.es/scielo.php?script=sci_arttext&amp;pid=S1137-66272016000200009&amp;lng=es&amp;nrm=iso" TargetMode="External" /><Relationship Type="http://schemas.openxmlformats.org/officeDocument/2006/relationships/hyperlink" Id="rId71" Target="http://scielo.sld.cu/scielo.php?script=sci_arttext&amp;pid=S1561-29532006000300006" TargetMode="External" /><Relationship Type="http://schemas.openxmlformats.org/officeDocument/2006/relationships/hyperlink" Id="rId76" Target="http://ve.scielo.org/scielo.php?script=sci_arttext&amp;pid=S0048-77322011000200002&amp;lng=es&amp;nrm=iso" TargetMode="External" /><Relationship Type="http://schemas.openxmlformats.org/officeDocument/2006/relationships/hyperlink" Id="rId74" Target="http://ve.scielo.org/scielo.php?script=sci_arttext&amp;pid=S0798-07522007000200006" TargetMode="External" /><Relationship Type="http://schemas.openxmlformats.org/officeDocument/2006/relationships/hyperlink" Id="rId88" Target="http://www.scielo.org.pe/scielo.php?script=sci_arttext&amp;pid=S1025-55832020000100092&amp;lng=es" TargetMode="External" /><Relationship Type="http://schemas.openxmlformats.org/officeDocument/2006/relationships/hyperlink" Id="rId80" Target="https://doi.org/10.1373/clinchem.2005.048611" TargetMode="External" /><Relationship Type="http://schemas.openxmlformats.org/officeDocument/2006/relationships/hyperlink" Id="rId83" Target="https://isanidad.com/67663/la-falta-de-sueno-puede-disminuir-el-colesterol-bueno/" TargetMode="External" /><Relationship Type="http://schemas.openxmlformats.org/officeDocument/2006/relationships/hyperlink" Id="rId85" Target="https://middlesexhealth.org/learning-center/espanol/enfermedades-y-afecciones/s-ndrome-metab-lico" TargetMode="External" /><Relationship Type="http://schemas.openxmlformats.org/officeDocument/2006/relationships/hyperlink" Id="rId82" Target="https://ruc.udc.es/dspace/handle/2183/16548" TargetMode="External" /><Relationship Type="http://schemas.openxmlformats.org/officeDocument/2006/relationships/hyperlink" Id="rId89" Target="https://scielo.isciii.es/scielo.php?script=sci_arttext&amp;pid=S0212-16112017000500013" TargetMode="External" /><Relationship Type="http://schemas.openxmlformats.org/officeDocument/2006/relationships/hyperlink" Id="rId92" Target="https://scielo.isciii.es/scielo.php?script=sci_arttext&amp;pid=S0212-71992008000700003" TargetMode="External" /><Relationship Type="http://schemas.openxmlformats.org/officeDocument/2006/relationships/hyperlink" Id="rId84" Target="https://www.cun.es/enfermedades-tratamientos/enfermedades/sindrome-metabolico" TargetMode="External" /><Relationship Type="http://schemas.openxmlformats.org/officeDocument/2006/relationships/hyperlink" Id="rId91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9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3" Target="https://www.flasog.org/static/academica/Sindrome-Metabolico.pdf" TargetMode="External" /><Relationship Type="http://schemas.openxmlformats.org/officeDocument/2006/relationships/hyperlink" Id="rId86" Target="https://www.mayoclinic.org/es-es/diseases-conditions/metabolic-syndrome/diagnosis-treatment/drc-20351921" TargetMode="External" /><Relationship Type="http://schemas.openxmlformats.org/officeDocument/2006/relationships/hyperlink" Id="rId87" Target="https://www.mayoclinic.org/es-es/diseases-conditions/metabolic-syndrome/symptoms-causes/syc-20351916" TargetMode="External" /><Relationship Type="http://schemas.openxmlformats.org/officeDocument/2006/relationships/hyperlink" Id="rId90" Target="https://www.pediatriaintegral.es/publicacion-2015-07/sindrome-metabolico/" TargetMode="External" /><Relationship Type="http://schemas.openxmlformats.org/officeDocument/2006/relationships/hyperlink" Id="rId72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8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2022-04-12T21:35:27Z</dcterms:created>
  <dcterms:modified xsi:type="dcterms:W3CDTF">2022-04-12T21:35:27Z</dcterms:modified>
</cp:coreProperties>
</file>