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p>
            <w:pPr>
              <w:pStyle w:val="Compact"/>
              <w:jc w:val="left"/>
            </w:pPr>
            <w:r>
              <w:t xml:space="preserve">C1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p>
            <w:pPr>
              <w:pStyle w:val="Compact"/>
              <w:jc w:val="left"/>
            </w:pPr>
            <w:r>
              <w:t xml:space="preserve">C2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p>
            <w:pPr>
              <w:pStyle w:val="Compact"/>
              <w:jc w:val="left"/>
            </w:pPr>
            <w:r>
              <w:t xml:space="preserve">C3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</w:tbl>
    <w:p>
      <w:pPr>
        <w:pStyle w:val="BodyText"/>
      </w:pPr>
      <w:r>
        <w:t xml:space="preserve">Trisíndrome metabólico | Camus | 1966 | Gota, diabetes e hiperlipidemia</w:t>
      </w:r>
      <w:r>
        <w:t xml:space="preserve"> </w:t>
      </w:r>
      <w:r>
        <w:t xml:space="preserve">“Síndrome plurimetabólico” | Avogaro y Crepaldi | 1967 | Hiperlipidemia,</w:t>
      </w:r>
      <w:r>
        <w:t xml:space="preserve"> </w:t>
      </w:r>
      <w:r>
        <w:t xml:space="preserve">obesidad y diabetes, y su asociación con hipertensión y enfermedad</w:t>
      </w:r>
      <w:r>
        <w:t xml:space="preserve"> </w:t>
      </w:r>
      <w:r>
        <w:t xml:space="preserve">coronaria | “Síndrome de opulencia | Mehnert y Kuhlmann | 1968 |</w:t>
      </w:r>
      <w:r>
        <w:t xml:space="preserve"> </w:t>
      </w:r>
      <w:r>
        <w:t xml:space="preserve">Conexión de estos trastornos con la nutrición y los cambios en el estilo</w:t>
      </w:r>
      <w:r>
        <w:t xml:space="preserve"> </w:t>
      </w:r>
      <w:r>
        <w:t xml:space="preserve">de vida de los países desarrollado | “Síndrome Metabólico” | Hanefeld y</w:t>
      </w:r>
      <w:r>
        <w:t xml:space="preserve"> </w:t>
      </w:r>
      <w:r>
        <w:t xml:space="preserve">Leonhardt | 1981 | Diabetes de tipo 2, hiperinsulinemia, obesidad,</w:t>
      </w:r>
      <w:r>
        <w:t xml:space="preserve"> </w:t>
      </w:r>
      <w:r>
        <w:t xml:space="preserve">hipertensión, hiperlipidemia y trombofilia, sobre una base genética y de</w:t>
      </w:r>
      <w:r>
        <w:t xml:space="preserve"> </w:t>
      </w:r>
      <w:r>
        <w:t xml:space="preserve">influencias medioambientales: sobrealimentación, sedentarismo,</w:t>
      </w:r>
      <w:r>
        <w:t xml:space="preserve"> </w:t>
      </w:r>
      <w:r>
        <w:t xml:space="preserve">arteriosclerosis | “Síndrome X” | Gerald Reaven | 1988 | Factores de</w:t>
      </w:r>
      <w:r>
        <w:t xml:space="preserve"> </w:t>
      </w:r>
      <w:r>
        <w:t xml:space="preserve">riesgo cardiovascular y diabetes: hipertensión arterial esencial,</w:t>
      </w:r>
      <w:r>
        <w:t xml:space="preserve"> </w:t>
      </w:r>
      <w:r>
        <w:t xml:space="preserve">resistencia a insulina, hiperglucemia, dislipemia y grasa abdominal |</w:t>
      </w:r>
      <w:r>
        <w:t xml:space="preserve"> </w:t>
      </w:r>
      <w:r>
        <w:t xml:space="preserve">“Cuarteto de la muerte” | Kaplan | 1989 | Adiposidad central,</w:t>
      </w:r>
      <w:r>
        <w:t xml:space="preserve"> </w:t>
      </w:r>
      <w:r>
        <w:t xml:space="preserve">intolerancia a la glucosa, hipertrigliceridemia e hipertensión;</w:t>
      </w:r>
      <w:r>
        <w:t xml:space="preserve"> </w:t>
      </w:r>
      <w:r>
        <w:t xml:space="preserve">importancia en el desarrollo de la enfermedad cardiovascular | |</w:t>
      </w:r>
      <w:r>
        <w:t xml:space="preserve"> </w:t>
      </w:r>
      <w:r>
        <w:t xml:space="preserve">Organización Mundial de la Salud (OMS) | 1998-1999 | Utiliza la ratio</w:t>
      </w:r>
      <w:r>
        <w:t xml:space="preserve"> </w:t>
      </w:r>
      <w:r>
        <w:t xml:space="preserve">cintura/cadera, que debe ser ≥ 0,9 en hombres y ≥ 0,85 en mujeres o un</w:t>
      </w:r>
      <w:r>
        <w:t xml:space="preserve"> </w:t>
      </w:r>
      <w:r>
        <w:t xml:space="preserve">IMC ≥ 30 kg/m | | National Cholesterol Education Program- Expert Panel</w:t>
      </w:r>
      <w:r>
        <w:t xml:space="preserve"> </w:t>
      </w:r>
      <w:r>
        <w:t xml:space="preserve">on Detection, Evaluation, and Treatment of High Blood Cholesterol in</w:t>
      </w:r>
      <w:r>
        <w:t xml:space="preserve"> </w:t>
      </w:r>
      <w:r>
        <w:t xml:space="preserve">Adult: (NCEP ATPIII) | 2001 | Alto riesgo cardiovascular, con colesterol</w:t>
      </w:r>
      <w:r>
        <w:t xml:space="preserve"> </w:t>
      </w:r>
      <w:r>
        <w:t xml:space="preserve">de las lipoproteínas de baja densidad (LDL) (c-LDL)alto, con obesidad</w:t>
      </w:r>
      <w:r>
        <w:t xml:space="preserve"> </w:t>
      </w:r>
      <w:r>
        <w:t xml:space="preserve">central:≥102cm hombre, ≥88cm mujer, con triglicéridos altos, con</w:t>
      </w:r>
      <w:r>
        <w:t xml:space="preserve"> </w:t>
      </w:r>
      <w:r>
        <w:t xml:space="preserve">colesterol HDL (c-HDL) bajo, hipertensión arterial y glucemias ≥ 110</w:t>
      </w:r>
      <w:r>
        <w:t xml:space="preserve"> </w:t>
      </w:r>
      <w:r>
        <w:t xml:space="preserve">mg/dL | | Grupo europeo para el estudio de resistencia a la insulina</w:t>
      </w:r>
      <w:r>
        <w:t xml:space="preserve"> </w:t>
      </w:r>
      <w:r>
        <w:t xml:space="preserve">(EGIR) | 2002 | Relación entre la sensibilidad a la insulina y las</w:t>
      </w:r>
      <w:r>
        <w:t xml:space="preserve"> </w:t>
      </w:r>
      <w:r>
        <w:t xml:space="preserve">enfermedades cardiovasculares; Circunferencia cintura varones &gt;94 cm,</w:t>
      </w:r>
      <w:r>
        <w:t xml:space="preserve"> </w:t>
      </w:r>
      <w:r>
        <w:t xml:space="preserve">mujeres &gt;80 cm | | National Cholesterol Education Program- Expert</w:t>
      </w:r>
      <w:r>
        <w:t xml:space="preserve"> </w:t>
      </w:r>
      <w:r>
        <w:t xml:space="preserve">Panel on Detection, Evaluation, and Treatment of High Blood Cholesterol</w:t>
      </w:r>
      <w:r>
        <w:t xml:space="preserve"> </w:t>
      </w:r>
      <w:r>
        <w:t xml:space="preserve">in Adult: (NCEP ATPIII) | 2005 | Disminuyó las cifras de tensión</w:t>
      </w:r>
      <w:r>
        <w:t xml:space="preserve"> </w:t>
      </w:r>
      <w:r>
        <w:t xml:space="preserve">mínimas,que en 2001 eran ≥ 135/85 mmHg, a 130/85 mmHg o cifras normales</w:t>
      </w:r>
      <w:r>
        <w:t xml:space="preserve"> </w:t>
      </w:r>
      <w:r>
        <w:t xml:space="preserve">en hipertensos con tratamiento establecido, y la glucemia pasó a ser ≥</w:t>
      </w:r>
      <w:r>
        <w:t xml:space="preserve"> </w:t>
      </w:r>
      <w:r>
        <w:t xml:space="preserve">100 mg/dL | “Síndrome metabólico” | International Diabetes Federation</w:t>
      </w:r>
      <w:r>
        <w:t xml:space="preserve"> </w:t>
      </w:r>
      <w:r>
        <w:t xml:space="preserve">(IDF) | 2005 | Circunferencia de cintura como criterio imprescindible,</w:t>
      </w:r>
      <w:r>
        <w:t xml:space="preserve"> </w:t>
      </w:r>
      <w:r>
        <w:t xml:space="preserve">además de dos, de los siguientes, hiperglucemia, hipertrigliceridemia e</w:t>
      </w:r>
      <w:r>
        <w:t xml:space="preserve"> </w:t>
      </w:r>
      <w:r>
        <w:t xml:space="preserve">hipertensión | | International Diabetes Federation Task Force on</w:t>
      </w:r>
      <w:r>
        <w:t xml:space="preserve"> </w:t>
      </w:r>
      <w:r>
        <w:t xml:space="preserve">Epidemiology and Prevention National Heart,Lung, and Blood Institute</w:t>
      </w:r>
      <w:r>
        <w:t xml:space="preserve"> </w:t>
      </w:r>
      <w:r>
        <w:t xml:space="preserve">American Heart Association World Heart Federation International</w:t>
      </w:r>
      <w:r>
        <w:t xml:space="preserve"> </w:t>
      </w:r>
      <w:r>
        <w:t xml:space="preserve">Atherosclerosis Society and International Association for the Study of</w:t>
      </w:r>
      <w:r>
        <w:t xml:space="preserve"> </w:t>
      </w:r>
      <w:r>
        <w:t xml:space="preserve">Obesity | 2009 | Armonización de criterios: Circunferencia de cintura</w:t>
      </w:r>
      <w:r>
        <w:t xml:space="preserve"> </w:t>
      </w:r>
      <w:r>
        <w:t xml:space="preserve">deja de ser criterio imprescindible</w:t>
      </w:r>
    </w:p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3f32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268a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2022-01-18T19:51:25Z</dcterms:created>
  <dcterms:modified xsi:type="dcterms:W3CDTF">2022-01-18T19:51:25Z</dcterms:modified>
</cp:coreProperties>
</file>