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3.1 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3.2.1 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3.2.2 Por grupos de población</w:t>
      </w:r>
    </w:p>
    <w:p>
      <w:pPr>
        <w:pStyle w:val="Compact"/>
        <w:numPr>
          <w:numId w:val="1005"/>
          <w:ilvl w:val="3"/>
        </w:numPr>
      </w:pPr>
      <w:r>
        <w:t xml:space="preserve">3.2.2.1 SM en el hombre</w:t>
      </w:r>
    </w:p>
    <w:p>
      <w:pPr>
        <w:pStyle w:val="Compact"/>
        <w:numPr>
          <w:numId w:val="1005"/>
          <w:ilvl w:val="3"/>
        </w:numPr>
      </w:pPr>
      <w:r>
        <w:t xml:space="preserve">3.2.2.2 SM en la mujer</w:t>
      </w:r>
      <w:r>
        <w:t xml:space="preserve"> </w:t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3.2.2.3 SM en la infancia</w:t>
      </w:r>
    </w:p>
    <w:p>
      <w:pPr>
        <w:pStyle w:val="Compact"/>
        <w:numPr>
          <w:numId w:val="1005"/>
          <w:ilvl w:val="3"/>
        </w:numPr>
      </w:pPr>
      <w:r>
        <w:t xml:space="preserve">3.2.2.4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.-introducción"/>
      <w:bookmarkEnd w:id="25"/>
      <w:r>
        <w:t xml:space="preserve">I. 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</w:p>
    <w:p>
      <w:pPr>
        <w:pStyle w:val="BodyText"/>
      </w:pPr>
      <w:r>
        <w:t xml:space="preserve">El SM no es una enfermedad nueva; como señala Braguinsky, su descripción</w:t>
      </w:r>
      <w:r>
        <w:t xml:space="preserve"> </w:t>
      </w:r>
      <w:r>
        <w:t xml:space="preserve">tuvo lugar hace al menos 80 años por parte de Kylin, un médico sueco que</w:t>
      </w:r>
      <w:r>
        <w:t xml:space="preserve"> </w:t>
      </w:r>
      <w:r>
        <w:t xml:space="preserve">definió la asociación entre hipertensión, hiperglicemia 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(nivel de vida e incidencia de sindrome metabólico)</w:t>
      </w:r>
    </w:p>
    <w:p>
      <w:pPr>
        <w:pStyle w:val="BodyText"/>
      </w:pPr>
      <w:r>
        <w:t xml:space="preserve">(influcencia de la industria alimentaria)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2"/>
      </w:pPr>
      <w:bookmarkStart w:id="37" w:name="iii.2.2-por-grupos-de-población"/>
      <w:bookmarkEnd w:id="37"/>
      <w:r>
        <w:t xml:space="preserve">III.2.2 Por grupos de población</w:t>
      </w:r>
    </w:p>
    <w:p>
      <w:pPr>
        <w:pStyle w:val="Heading3"/>
      </w:pPr>
      <w:bookmarkStart w:id="38" w:name="sm-en-el-hombre"/>
      <w:bookmarkEnd w:id="38"/>
      <w:r>
        <w:t xml:space="preserve">3.2.2.1 SM en el hombre</w:t>
      </w:r>
    </w:p>
    <w:p>
      <w:pPr>
        <w:pStyle w:val="Heading3"/>
      </w:pPr>
      <w:bookmarkStart w:id="39" w:name="sm-en-la-mujer"/>
      <w:bookmarkEnd w:id="39"/>
      <w:r>
        <w:t xml:space="preserve">3.2.2.2 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Heading3"/>
      </w:pPr>
      <w:bookmarkStart w:id="42" w:name="sm-en-la-infancia"/>
      <w:bookmarkEnd w:id="42"/>
      <w:r>
        <w:t xml:space="preserve">3.2.2.3 SM en la infancia</w:t>
      </w:r>
    </w:p>
    <w:p>
      <w:pPr>
        <w:pStyle w:val="FirstParagraph"/>
      </w:pPr>
      <w:r>
        <w:t xml:space="preserve">En los últimos 50 años la obesidad y el SM se han convertido en un</w:t>
      </w:r>
      <w:r>
        <w:t xml:space="preserve"> </w:t>
      </w:r>
      <w:r>
        <w:t xml:space="preserve">problema global. Esto antes era considerado como enfermedades del</w:t>
      </w:r>
      <w:r>
        <w:t xml:space="preserve"> </w:t>
      </w:r>
      <w:r>
        <w:t xml:space="preserve">adulto, ahora ha ido aumentando de forma progresiva su incidencia en</w:t>
      </w:r>
      <w:r>
        <w:t xml:space="preserve"> </w:t>
      </w:r>
      <w:r>
        <w:t xml:space="preserve">niños y adolescentes. Que no solo se están volviendo más obesos sino que</w:t>
      </w:r>
      <w:r>
        <w:t xml:space="preserve"> </w:t>
      </w:r>
      <w:r>
        <w:t xml:space="preserve">lo están haciendo a edades más tempranas. Los mecanismos</w:t>
      </w:r>
      <w:r>
        <w:t xml:space="preserve"> </w:t>
      </w:r>
      <w:r>
        <w:t xml:space="preserve">fisiopatológicos descritos para la población adulta también pueden</w:t>
      </w:r>
      <w:r>
        <w:t xml:space="preserve"> </w:t>
      </w:r>
      <w:r>
        <w:t xml:space="preserve">explicar la aparición del SM en niños y adolescentes. Aunque nos</w:t>
      </w:r>
      <w:r>
        <w:t xml:space="preserve"> </w:t>
      </w:r>
      <w:r>
        <w:t xml:space="preserve">encontramos con la dificultad para medirlo de que no existe una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rPr>
          <w:b/>
        </w:rPr>
        <w:t xml:space="preserve">Insertar Tabla: Criterios de síndrome metabólico en la infancia y</w:t>
      </w:r>
      <w:r>
        <w:rPr>
          <w:b/>
        </w:rPr>
        <w:t xml:space="preserve"> </w:t>
      </w:r>
      <w:r>
        <w:rPr>
          <w:b/>
        </w:rPr>
        <w:t xml:space="preserve">adolescencia de la International Diabetes Federation</w:t>
      </w:r>
      <w:r>
        <w:t xml:space="preserve"> </w:t>
      </w:r>
      <w:hyperlink r:id="rId43">
        <w:r>
          <w:rPr>
            <w:rStyle w:val="Hyperlink"/>
          </w:rPr>
          <w:t xml:space="preserve">tabla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Heading3"/>
      </w:pPr>
      <w:bookmarkStart w:id="44" w:name="sm-en-la-tercera-edad"/>
      <w:bookmarkEnd w:id="44"/>
      <w:r>
        <w:t xml:space="preserve">3.2.2.4 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5" w:name="tratamiento-y-prevención"/>
      <w:bookmarkEnd w:id="45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6" w:name="relación-con-la-alimentación"/>
      <w:bookmarkEnd w:id="46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7" w:name="hábitos-de-vida"/>
      <w:bookmarkEnd w:id="47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8" w:name="material-y-métodos"/>
      <w:bookmarkEnd w:id="48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9" w:name="resultados"/>
      <w:bookmarkEnd w:id="49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0" w:name="discusión"/>
      <w:bookmarkEnd w:id="50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1" w:name="conclusión"/>
      <w:bookmarkEnd w:id="51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2" w:name="bibliografía"/>
      <w:bookmarkEnd w:id="52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5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6" w:name="anexos"/>
      <w:bookmarkEnd w:id="76"/>
      <w:r>
        <w:t xml:space="preserve">Anexos</w:t>
      </w:r>
    </w:p>
    <w:p>
      <w:pPr>
        <w:pStyle w:val="Heading2"/>
      </w:pPr>
      <w:bookmarkStart w:id="77" w:name="vocabulario"/>
      <w:bookmarkEnd w:id="77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8" w:name="abreviaturas"/>
      <w:bookmarkEnd w:id="78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79" w:name="tablas"/>
      <w:bookmarkEnd w:id="79"/>
      <w:r>
        <w:t xml:space="preserve">Tablas</w:t>
      </w:r>
    </w:p>
    <w:p>
      <w:pPr>
        <w:pStyle w:val="Heading5"/>
      </w:pPr>
      <w:bookmarkStart w:id="80" w:name="tabla-1"/>
      <w:bookmarkEnd w:id="80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1" w:name="tabla-2"/>
      <w:bookmarkEnd w:id="81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2" w:name="tabla-3"/>
      <w:bookmarkEnd w:id="82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3" w:name="tabla-4"/>
      <w:bookmarkEnd w:id="83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4" w:name="tabla-5"/>
      <w:bookmarkEnd w:id="84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f568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e83b87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0a0b2d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2022-02-02T21:32:41Z</dcterms:created>
  <dcterms:modified xsi:type="dcterms:W3CDTF">2022-02-02T21:32:41Z</dcterms:modified>
</cp:coreProperties>
</file>