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4.1 Creación empresa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menú-tipo-semanal">
        <w:r>
          <w:rPr>
            <w:rStyle w:val="Hyperlink"/>
          </w:rPr>
          <w:t xml:space="preserve">Menú tipo semanal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Compact"/>
        <w:numPr>
          <w:numId w:val="1009"/>
          <w:ilvl w:val="1"/>
        </w:numPr>
      </w:pPr>
      <w:hyperlink w:anchor="encuesta">
        <w:r>
          <w:rPr>
            <w:rStyle w:val="Hyperlink"/>
          </w:rPr>
          <w:t xml:space="preserve">Encuesta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0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2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2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2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."/>
      <w:bookmarkEnd w:id="35"/>
      <w:r>
        <w:t xml:space="preserve">Factores de riesgo como criterios de diagnóstico.</w:t>
      </w: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3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3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4"/>
          <w:ilvl w:val="1"/>
        </w:numPr>
      </w:pPr>
      <w:r>
        <w:t xml:space="preserve">Grasa subcutánea</w:t>
      </w:r>
    </w:p>
    <w:p>
      <w:pPr>
        <w:pStyle w:val="Compact"/>
        <w:numPr>
          <w:numId w:val="1014"/>
          <w:ilvl w:val="1"/>
        </w:numPr>
      </w:pPr>
      <w:r>
        <w:t xml:space="preserve">Grasa interna</w:t>
      </w:r>
    </w:p>
    <w:p>
      <w:pPr>
        <w:pStyle w:val="Compact"/>
        <w:numPr>
          <w:numId w:val="1015"/>
          <w:ilvl w:val="2"/>
        </w:numPr>
      </w:pPr>
      <w:r>
        <w:t xml:space="preserve">Visceral</w:t>
      </w:r>
    </w:p>
    <w:p>
      <w:pPr>
        <w:pStyle w:val="Compact"/>
        <w:numPr>
          <w:numId w:val="1015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resistencia-a-la-insulina.-diabetes-mellitus-tipo-ii"/>
      <w:bookmarkEnd w:id="37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6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6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6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6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6"/>
          <w:ilvl w:val="0"/>
        </w:numPr>
      </w:pPr>
      <w:r>
        <w:t xml:space="preserve">Eleva la presión arterial.</w:t>
      </w:r>
    </w:p>
    <w:p>
      <w:pPr>
        <w:pStyle w:val="Compact"/>
        <w:numPr>
          <w:numId w:val="1016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7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7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7"/>
          <w:ilvl w:val="0"/>
        </w:numPr>
      </w:pPr>
      <w:r>
        <w:t xml:space="preserve">Dislipidemias.</w:t>
      </w:r>
    </w:p>
    <w:p>
      <w:pPr>
        <w:pStyle w:val="Compact"/>
        <w:numPr>
          <w:numId w:val="1017"/>
          <w:ilvl w:val="0"/>
        </w:numPr>
      </w:pPr>
      <w:r>
        <w:t xml:space="preserve">Hipertensión arterial.</w:t>
      </w:r>
    </w:p>
    <w:p>
      <w:pPr>
        <w:pStyle w:val="Compact"/>
        <w:numPr>
          <w:numId w:val="1017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0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0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1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1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2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5"/>
          <w:ilvl w:val="0"/>
        </w:numPr>
      </w:pPr>
      <w:r>
        <w:t xml:space="preserve">Sobrepeso / obesidad</w:t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Exceso de alcohol</w:t>
      </w:r>
    </w:p>
    <w:p>
      <w:pPr>
        <w:pStyle w:val="Compact"/>
        <w:numPr>
          <w:numId w:val="1025"/>
          <w:ilvl w:val="0"/>
        </w:numPr>
      </w:pPr>
      <w:r>
        <w:t xml:space="preserve">Tabaquismo</w:t>
      </w:r>
    </w:p>
    <w:p>
      <w:pPr>
        <w:pStyle w:val="Compact"/>
        <w:numPr>
          <w:numId w:val="1025"/>
          <w:ilvl w:val="0"/>
        </w:numPr>
      </w:pPr>
      <w:r>
        <w:t xml:space="preserve">Inactividad física</w:t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6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6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6"/>
          <w:ilvl w:val="0"/>
        </w:numPr>
      </w:pPr>
      <w:r>
        <w:t xml:space="preserve">Disbetalipoproteinemia</w:t>
      </w:r>
    </w:p>
    <w:p>
      <w:pPr>
        <w:pStyle w:val="Compact"/>
        <w:numPr>
          <w:numId w:val="1026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7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7"/>
          <w:ilvl w:val="0"/>
        </w:numPr>
      </w:pPr>
      <w:r>
        <w:t xml:space="preserve">Enfermedad renal</w:t>
      </w:r>
    </w:p>
    <w:p>
      <w:pPr>
        <w:pStyle w:val="Compact"/>
        <w:numPr>
          <w:numId w:val="1027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7"/>
          <w:ilvl w:val="0"/>
        </w:numPr>
      </w:pPr>
      <w:r>
        <w:t xml:space="preserve">Problemas de tiroides</w:t>
      </w:r>
    </w:p>
    <w:p>
      <w:pPr>
        <w:pStyle w:val="Compact"/>
        <w:numPr>
          <w:numId w:val="1027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7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7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8"/>
          <w:ilvl w:val="0"/>
        </w:numPr>
      </w:pPr>
      <w:r>
        <w:t xml:space="preserve">Cáncer colorrectal</w:t>
      </w:r>
    </w:p>
    <w:p>
      <w:pPr>
        <w:pStyle w:val="Compact"/>
        <w:numPr>
          <w:numId w:val="1028"/>
          <w:ilvl w:val="0"/>
        </w:numPr>
      </w:pPr>
      <w:r>
        <w:t xml:space="preserve">Cáncer de mama</w:t>
      </w:r>
    </w:p>
    <w:p>
      <w:pPr>
        <w:pStyle w:val="Compact"/>
        <w:numPr>
          <w:numId w:val="102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9"/>
          <w:ilvl w:val="0"/>
        </w:numPr>
      </w:pPr>
      <w:r>
        <w:t xml:space="preserve">Esteatosis hepática,</w:t>
      </w:r>
    </w:p>
    <w:p>
      <w:pPr>
        <w:pStyle w:val="Compact"/>
        <w:numPr>
          <w:numId w:val="1029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9"/>
          <w:ilvl w:val="0"/>
        </w:numPr>
      </w:pPr>
      <w:r>
        <w:t xml:space="preserve">Enfermedad renal crónica,</w:t>
      </w:r>
    </w:p>
    <w:p>
      <w:pPr>
        <w:pStyle w:val="Compact"/>
        <w:numPr>
          <w:numId w:val="1029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9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0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0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0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1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1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1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2"/>
          <w:ilvl w:val="0"/>
        </w:numPr>
      </w:pPr>
      <w:r>
        <w:t xml:space="preserve">Un mayor estrés oxidativo.</w:t>
      </w:r>
    </w:p>
    <w:p>
      <w:pPr>
        <w:pStyle w:val="Compact"/>
        <w:numPr>
          <w:numId w:val="1032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2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2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2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2"/>
      </w:pPr>
      <w:bookmarkStart w:id="51" w:name="paciente"/>
      <w:bookmarkEnd w:id="51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6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6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3"/>
      </w:pPr>
      <w:bookmarkStart w:id="52" w:name="ficha-dietética-del-paciente"/>
      <w:bookmarkEnd w:id="52"/>
      <w:r>
        <w:t xml:space="preserve">Ficha dietética del paciente</w:t>
      </w:r>
    </w:p>
    <w:p>
      <w:pPr>
        <w:pStyle w:val="FirstParagraph"/>
      </w:pPr>
      <w:r>
        <w:rPr>
          <w:b/>
        </w:rPr>
        <w:t xml:space="preserve">DATOS ADMINISTRATIVOS</w:t>
      </w:r>
    </w:p>
    <w:p>
      <w:pPr>
        <w:pStyle w:val="BodyText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BodyText"/>
      </w:pPr>
      <w:r>
        <w:rPr>
          <w:b/>
        </w:rPr>
        <w:t xml:space="preserve">ANAMNESIS</w:t>
      </w:r>
    </w:p>
    <w:p>
      <w:pPr>
        <w:pStyle w:val="BodyText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3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ANTROPOMETRÍA</w:t>
      </w:r>
    </w:p>
    <w:p>
      <w:pPr>
        <w:pStyle w:val="BodyText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BodyText"/>
      </w:pPr>
      <w:r>
        <w:rPr>
          <w:b/>
        </w:rP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EXPLORACIÓN FÍSICA Y PREGUNTAS</w:t>
      </w:r>
    </w:p>
    <w:p>
      <w:pPr>
        <w:pStyle w:val="BodyText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BodyText"/>
      </w:pPr>
      <w:r>
        <w:rPr>
          <w:b/>
        </w:rPr>
        <w:t xml:space="preserve">ENTREVISTA AL PACIENTE</w:t>
      </w:r>
    </w:p>
    <w:p>
      <w:pPr>
        <w:pStyle w:val="BodyText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rPr>
          <w:b/>
        </w:rPr>
        <w:t xml:space="preserve">ASPECTOS SOCIALES</w:t>
      </w:r>
    </w:p>
    <w:p>
      <w:pPr>
        <w:pStyle w:val="BodyText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BodyText"/>
      </w:pPr>
      <w:r>
        <w:rPr>
          <w:b/>
        </w:rPr>
        <w:t xml:space="preserve">PRIMER DIAGNOSTICO E INTERVENCIÓN</w:t>
      </w:r>
    </w:p>
    <w:p>
      <w:pPr>
        <w:pStyle w:val="BodyText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53" w:name="recomendaciones"/>
      <w:bookmarkEnd w:id="53"/>
      <w:r>
        <w:t xml:space="preserve">RECOMENDACIONES</w:t>
      </w:r>
    </w:p>
    <w:p>
      <w:pPr>
        <w:pStyle w:val="Compact"/>
        <w:numPr>
          <w:numId w:val="1040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0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0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0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0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0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1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1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1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1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54" w:name="dieta"/>
      <w:bookmarkEnd w:id="5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55" w:name="menú-tipo-semanal"/>
      <w:bookmarkEnd w:id="55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42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42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42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43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43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43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44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44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44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44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44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44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44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45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45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45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46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46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46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46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46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46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46"/>
          <w:ilvl w:val="0"/>
        </w:numPr>
      </w:pPr>
      <w:r>
        <w:t xml:space="preserve">Merluza cocida + patata + guisantes</w:t>
      </w:r>
    </w:p>
    <w:p>
      <w:pPr>
        <w:pStyle w:val="FirstParagraph"/>
      </w:pPr>
    </w:p>
    <w:p>
      <w:pPr>
        <w:pStyle w:val="Heading3"/>
      </w:pPr>
      <w:bookmarkStart w:id="56" w:name="recuento-alimentario-de-tres-días"/>
      <w:bookmarkEnd w:id="56"/>
      <w:r>
        <w:t xml:space="preserve">RECUENTO ALIMENTARIO DE TRES DÍAS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57" w:name="resultados-paciente"/>
      <w:bookmarkEnd w:id="57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50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0"/>
          <w:ilvl w:val="0"/>
        </w:numPr>
      </w:pPr>
      <w:r>
        <w:t xml:space="preserve">Dormir mejor.</w:t>
      </w:r>
    </w:p>
    <w:p>
      <w:pPr>
        <w:pStyle w:val="Compact"/>
        <w:numPr>
          <w:numId w:val="1050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</w:p>
    <w:p>
      <w:pPr>
        <w:pStyle w:val="Compact"/>
        <w:numPr>
          <w:numId w:val="1050"/>
          <w:ilvl w:val="0"/>
        </w:numPr>
      </w:pPr>
      <w:r>
        <w:t xml:space="preserve">Manifiesta encontrarse más alegre y con mejor ánimo.</w:t>
      </w:r>
    </w:p>
    <w:p>
      <w:pPr>
        <w:pStyle w:val="Compact"/>
        <w:numPr>
          <w:numId w:val="105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58" w:name="material-y-métodos"/>
      <w:bookmarkEnd w:id="58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9" w:name="creación-empresa"/>
      <w:bookmarkEnd w:id="59"/>
      <w:r>
        <w:t xml:space="preserve">4.1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0" w:name="pasos-para-montar-la-empresa"/>
      <w:bookmarkEnd w:id="60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1" w:name="plan-dafo"/>
      <w:bookmarkEnd w:id="61"/>
      <w:r>
        <w:t xml:space="preserve">Plan DAFO</w:t>
      </w:r>
    </w:p>
    <w:p>
      <w:pPr>
        <w:pStyle w:val="Heading4"/>
      </w:pPr>
      <w:bookmarkStart w:id="62" w:name="debilidades"/>
      <w:bookmarkEnd w:id="62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3" w:name="amenazas"/>
      <w:bookmarkEnd w:id="63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64" w:name="fortalezas"/>
      <w:bookmarkEnd w:id="64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65" w:name="oportunidades"/>
      <w:bookmarkEnd w:id="65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6" w:name="plan-de-marketing"/>
      <w:bookmarkEnd w:id="66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7" w:name="plan-financiero"/>
      <w:bookmarkEnd w:id="67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8" w:name="plan-gastos-y-beneficios-de-la-empresa"/>
      <w:bookmarkEnd w:id="68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69" w:name="papeles-oficiales-para-gestionar-la-empresa-alta-en-la-seguridad-social-iae-licencia-del-ayuntamiento-para-la-apertura-etc."/>
      <w:bookmarkEnd w:id="69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0" w:name="resultados"/>
      <w:bookmarkEnd w:id="70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9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9"/>
          <w:ilvl w:val="0"/>
        </w:numPr>
      </w:pPr>
      <w:r>
        <w:t xml:space="preserve">Dormir mejor.</w:t>
      </w:r>
    </w:p>
    <w:p>
      <w:pPr>
        <w:pStyle w:val="Compact"/>
        <w:numPr>
          <w:numId w:val="1059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9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1" w:name="discusión"/>
      <w:bookmarkEnd w:id="71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60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60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60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60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2" w:name="conclusión"/>
      <w:bookmarkEnd w:id="72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61"/>
          <w:ilvl w:val="0"/>
        </w:numPr>
      </w:pPr>
      <w:hyperlink r:id="rId74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61"/>
          <w:ilvl w:val="0"/>
        </w:numPr>
      </w:pPr>
      <w:hyperlink r:id="rId75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61"/>
          <w:ilvl w:val="0"/>
        </w:numPr>
      </w:pPr>
      <w:hyperlink r:id="rId76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61"/>
          <w:ilvl w:val="0"/>
        </w:numPr>
      </w:pPr>
      <w:hyperlink r:id="rId77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61"/>
          <w:ilvl w:val="0"/>
        </w:numPr>
      </w:pPr>
      <w:hyperlink r:id="rId7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61"/>
          <w:ilvl w:val="0"/>
        </w:numPr>
      </w:pPr>
      <w:hyperlink r:id="rId79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61"/>
          <w:ilvl w:val="0"/>
        </w:numPr>
      </w:pPr>
      <w:hyperlink r:id="rId8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61"/>
          <w:ilvl w:val="0"/>
        </w:numPr>
      </w:pPr>
      <w:hyperlink r:id="rId81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62"/>
          <w:ilvl w:val="0"/>
        </w:numPr>
      </w:pPr>
      <w:hyperlink r:id="rId8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62"/>
          <w:ilvl w:val="0"/>
        </w:numPr>
      </w:pPr>
      <w:hyperlink r:id="rId8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62"/>
          <w:ilvl w:val="0"/>
        </w:numPr>
      </w:pPr>
      <w:hyperlink r:id="rId8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62"/>
          <w:ilvl w:val="0"/>
        </w:numPr>
      </w:pPr>
      <w:hyperlink r:id="rId8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62"/>
          <w:ilvl w:val="0"/>
        </w:numPr>
      </w:pPr>
      <w:hyperlink r:id="rId86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62"/>
          <w:ilvl w:val="0"/>
        </w:numPr>
      </w:pPr>
      <w:hyperlink r:id="rId87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62"/>
          <w:ilvl w:val="0"/>
        </w:numPr>
      </w:pPr>
      <w:hyperlink r:id="rId88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62"/>
          <w:ilvl w:val="0"/>
        </w:numPr>
      </w:pPr>
      <w:hyperlink r:id="rId8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62"/>
          <w:ilvl w:val="0"/>
        </w:numPr>
      </w:pPr>
      <w:hyperlink r:id="rId9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62"/>
          <w:ilvl w:val="0"/>
        </w:numPr>
      </w:pPr>
      <w:hyperlink r:id="rId9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62"/>
          <w:ilvl w:val="0"/>
        </w:numPr>
      </w:pPr>
      <w:hyperlink r:id="rId9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62"/>
          <w:ilvl w:val="0"/>
        </w:numPr>
      </w:pPr>
      <w:hyperlink r:id="rId9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62"/>
          <w:ilvl w:val="0"/>
        </w:numPr>
      </w:pPr>
      <w:hyperlink r:id="rId9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62"/>
          <w:ilvl w:val="0"/>
        </w:numPr>
      </w:pPr>
      <w:hyperlink r:id="rId9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62"/>
          <w:ilvl w:val="0"/>
        </w:numPr>
      </w:pPr>
      <w:hyperlink r:id="rId9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62"/>
          <w:ilvl w:val="0"/>
        </w:numPr>
      </w:pPr>
      <w:hyperlink r:id="rId97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98" w:name="anexos"/>
      <w:bookmarkEnd w:id="98"/>
      <w:r>
        <w:t xml:space="preserve">Anexos</w:t>
      </w:r>
    </w:p>
    <w:p>
      <w:pPr>
        <w:pStyle w:val="Heading2"/>
      </w:pPr>
      <w:bookmarkStart w:id="99" w:name="abreviaturas"/>
      <w:bookmarkEnd w:id="99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0" w:name="glosario"/>
      <w:bookmarkEnd w:id="100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1" w:name="evolución-histórica-de-los-criterios-del-síndrome-metabólico"/>
      <w:bookmarkEnd w:id="101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2" w:name="díptico"/>
      <w:bookmarkEnd w:id="102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Heading2"/>
      </w:pPr>
      <w:bookmarkStart w:id="104" w:name="encuesta"/>
      <w:bookmarkEnd w:id="104"/>
      <w:r>
        <w:t xml:space="preserve">Encuesta</w:t>
      </w:r>
    </w:p>
    <w:p>
      <w:pPr>
        <w:pStyle w:val="Heading2"/>
      </w:pPr>
      <w:bookmarkStart w:id="105" w:name="síndrome-metabólico-en-españa-prevalencia-y-riesgo-coronario-asociado-a-la-definición-armonizada-y-a-la-propuesta-por-la-oms.-estudio-darios"/>
      <w:bookmarkEnd w:id="105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t xml:space="preserve">El nombre síndrome metabólico (SM) surgió hace 30 años para definir una</w:t>
      </w:r>
      <w:r>
        <w:t xml:space="preserve"> </w:t>
      </w:r>
      <w:r>
        <w:t xml:space="preserve">agrupación no casual de factores de origen metabólico frecuentemente</w:t>
      </w:r>
      <w:r>
        <w:t xml:space="preserve"> </w:t>
      </w:r>
      <w:r>
        <w:t xml:space="preserve">observados en la práctica clínica: - obesidad abdominal, - dislipemia, -</w:t>
      </w:r>
      <w:r>
        <w:t xml:space="preserve"> </w:t>
      </w:r>
      <w:r>
        <w:t xml:space="preserve">glucemia elevada y 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 - 32%</w:t>
      </w:r>
      <w:r>
        <w:t xml:space="preserve"> </w:t>
      </w:r>
      <w:r>
        <w:t xml:space="preserve">en varones - 29% en mujeres</w:t>
      </w:r>
    </w:p>
    <w:p>
      <w:pPr>
        <w:pStyle w:val="BodyText"/>
      </w:pPr>
      <w:r>
        <w:t xml:space="preserve">La definición de SMP redujo la prevalencia en un 20% hasta dejarla en: -</w:t>
      </w:r>
      <w:r>
        <w:t xml:space="preserve"> </w:t>
      </w:r>
      <w:r>
        <w:t xml:space="preserve">el 26% de los varones 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 -</w:t>
      </w:r>
      <w:r>
        <w:t xml:space="preserve"> </w:t>
      </w:r>
      <w:r>
        <w:rPr>
          <w:b/>
        </w:rPr>
        <w:t xml:space="preserve">Mujeres:</w:t>
      </w:r>
      <w:r>
        <w:t xml:space="preserve"> </w:t>
      </w:r>
      <w:r>
        <w:t xml:space="preserve">eran más frecuentes los criterios de cintura</w:t>
      </w:r>
      <w:r>
        <w:t xml:space="preserve"> </w:t>
      </w:r>
      <w:r>
        <w:t xml:space="preserve">abdominal y de cHDL -</w:t>
      </w:r>
      <w:r>
        <w:t xml:space="preserve"> </w:t>
      </w:r>
      <w:r>
        <w:rPr>
          <w:b/>
        </w:rPr>
        <w:t xml:space="preserve">Varones:</w:t>
      </w:r>
      <w:r>
        <w:t xml:space="preserve"> </w:t>
      </w:r>
      <w:r>
        <w:t xml:space="preserve">fueron más frecuentes los de glucemia</w:t>
      </w:r>
      <w:r>
        <w:t xml:space="preserve"> </w:t>
      </w:r>
      <w:r>
        <w:t xml:space="preserve">e hipertrigliceridemia 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 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0f22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62a7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e114c2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3" Target="media/rId103.png" /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2022-04-17T22:11:16Z</dcterms:created>
  <dcterms:modified xsi:type="dcterms:W3CDTF">2022-04-17T22:11:16Z</dcterms:modified>
</cp:coreProperties>
</file>