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Heading1"/>
      </w:pPr>
      <w:bookmarkStart w:id="22" w:name="indice-general"/>
      <w:bookmarkEnd w:id="22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r>
        <w:t xml:space="preserve">Introduccion</w:t>
      </w:r>
    </w:p>
    <w:p>
      <w:pPr>
        <w:numPr>
          <w:numId w:val="1001"/>
          <w:ilvl w:val="0"/>
        </w:numPr>
      </w:pPr>
      <w:r>
        <w:t xml:space="preserve">Descubrimiento</w:t>
      </w:r>
    </w:p>
    <w:p>
      <w:pPr>
        <w:numPr>
          <w:numId w:val="1001"/>
          <w:ilvl w:val="0"/>
        </w:numPr>
      </w:pPr>
      <w:r>
        <w:t xml:space="preserve">Objetivos</w:t>
      </w:r>
    </w:p>
    <w:p>
      <w:pPr>
        <w:numPr>
          <w:numId w:val="1001"/>
          <w:ilvl w:val="0"/>
        </w:numPr>
      </w:pPr>
      <w:r>
        <w:t xml:space="preserve">Parte teorica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</w:p>
    <w:p>
      <w:pPr>
        <w:pStyle w:val="Compact"/>
        <w:numPr>
          <w:numId w:val="1002"/>
          <w:ilvl w:val="1"/>
        </w:numPr>
      </w:pPr>
      <w:r>
        <w:t xml:space="preserve">Características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Como identificarlo</w:t>
      </w:r>
    </w:p>
    <w:p>
      <w:pPr>
        <w:pStyle w:val="Compact"/>
        <w:numPr>
          <w:numId w:val="1003"/>
          <w:ilvl w:val="2"/>
        </w:numPr>
      </w:pPr>
      <w:r>
        <w:t xml:space="preserve">Rasgos</w:t>
      </w:r>
    </w:p>
    <w:p>
      <w:pPr>
        <w:pStyle w:val="Compact"/>
        <w:numPr>
          <w:numId w:val="1003"/>
          <w:ilvl w:val="2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Colesterol bueno o de lipoproteínas de alta densidad</w:t>
      </w:r>
      <w:r>
        <w:t xml:space="preserve"> </w:t>
      </w:r>
      <w:r>
        <w:t xml:space="preserve">reducido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3"/>
          <w:ilvl w:val="2"/>
        </w:numPr>
      </w:pPr>
      <w:r>
        <w:t xml:space="preserve">Niveles elevados de triglicéridos</w:t>
      </w:r>
    </w:p>
    <w:p>
      <w:pPr>
        <w:numPr>
          <w:numId w:val="1002"/>
          <w:ilvl w:val="1"/>
        </w:numPr>
      </w:pPr>
      <w:r>
        <w:t xml:space="preserve">Patologías relacionadas</w:t>
      </w:r>
    </w:p>
    <w:p>
      <w:pPr>
        <w:pStyle w:val="Compact"/>
        <w:numPr>
          <w:numId w:val="1002"/>
          <w:ilvl w:val="1"/>
        </w:numPr>
      </w:pPr>
      <w:r>
        <w:t xml:space="preserve">Relación con la alimentación</w:t>
      </w:r>
    </w:p>
    <w:p>
      <w:pPr>
        <w:pStyle w:val="Compact"/>
        <w:numPr>
          <w:numId w:val="1002"/>
          <w:ilvl w:val="1"/>
        </w:numPr>
      </w:pPr>
      <w:r>
        <w:t xml:space="preserve">Hábitos de vida</w:t>
      </w:r>
      <w:r>
        <w:br w:type="textWrapping"/>
      </w:r>
    </w:p>
    <w:p>
      <w:pPr>
        <w:numPr>
          <w:numId w:val="1002"/>
          <w:ilvl w:val="1"/>
        </w:numPr>
      </w:pPr>
      <w:r>
        <w:t xml:space="preserve">Prevención y Tratamiento</w:t>
      </w:r>
    </w:p>
    <w:p>
      <w:pPr>
        <w:pStyle w:val="Compact"/>
        <w:numPr>
          <w:numId w:val="1002"/>
          <w:ilvl w:val="1"/>
        </w:numPr>
      </w:pPr>
      <w:r>
        <w:t xml:space="preserve">Por grupos de población</w:t>
      </w:r>
    </w:p>
    <w:p>
      <w:pPr>
        <w:pStyle w:val="Compact"/>
        <w:numPr>
          <w:numId w:val="1002"/>
          <w:ilvl w:val="1"/>
        </w:numPr>
      </w:pPr>
      <w:r>
        <w:t xml:space="preserve">niños</w:t>
      </w:r>
    </w:p>
    <w:p>
      <w:pPr>
        <w:pStyle w:val="Compact"/>
        <w:numPr>
          <w:numId w:val="1002"/>
          <w:ilvl w:val="1"/>
        </w:numPr>
      </w:pPr>
      <w:r>
        <w:t xml:space="preserve">adultos</w:t>
      </w:r>
    </w:p>
    <w:p>
      <w:pPr>
        <w:pStyle w:val="Compact"/>
        <w:numPr>
          <w:numId w:val="1002"/>
          <w:ilvl w:val="1"/>
        </w:numPr>
      </w:pPr>
      <w:r>
        <w:t xml:space="preserve">mujer</w:t>
      </w:r>
    </w:p>
    <w:p>
      <w:pPr>
        <w:pStyle w:val="Compact"/>
        <w:numPr>
          <w:numId w:val="1004"/>
          <w:ilvl w:val="2"/>
        </w:numPr>
      </w:pPr>
      <w:r>
        <w:t xml:space="preserve">menopausia</w:t>
      </w:r>
    </w:p>
    <w:p>
      <w:pPr>
        <w:numPr>
          <w:numId w:val="1002"/>
          <w:ilvl w:val="1"/>
        </w:numPr>
      </w:pPr>
      <w:r>
        <w:t xml:space="preserve">tercera edad</w:t>
      </w:r>
    </w:p>
    <w:p>
      <w:pPr>
        <w:pStyle w:val="Compact"/>
        <w:numPr>
          <w:numId w:val="1001"/>
          <w:ilvl w:val="0"/>
        </w:numPr>
      </w:pPr>
      <w:r>
        <w:t xml:space="preserve">Material y metodos</w:t>
      </w:r>
    </w:p>
    <w:p>
      <w:pPr>
        <w:pStyle w:val="Compact"/>
        <w:numPr>
          <w:numId w:val="1001"/>
          <w:ilvl w:val="0"/>
        </w:numPr>
      </w:pPr>
      <w:r>
        <w:t xml:space="preserve">Resultados</w:t>
      </w:r>
    </w:p>
    <w:p>
      <w:pPr>
        <w:pStyle w:val="Compact"/>
        <w:numPr>
          <w:numId w:val="1001"/>
          <w:ilvl w:val="0"/>
        </w:numPr>
      </w:pPr>
      <w:r>
        <w:t xml:space="preserve">Discusion</w:t>
      </w:r>
    </w:p>
    <w:p>
      <w:pPr>
        <w:pStyle w:val="Compact"/>
        <w:numPr>
          <w:numId w:val="1001"/>
          <w:ilvl w:val="0"/>
        </w:numPr>
      </w:pPr>
      <w:r>
        <w:t xml:space="preserve">Conclusion</w:t>
      </w:r>
    </w:p>
    <w:p>
      <w:pPr>
        <w:numPr>
          <w:numId w:val="1001"/>
          <w:ilvl w:val="0"/>
        </w:numPr>
      </w:pPr>
      <w:r>
        <w:t xml:space="preserve">Bibliografia</w:t>
      </w:r>
    </w:p>
    <w:p>
      <w:pPr>
        <w:pStyle w:val="Heading1"/>
      </w:pPr>
      <w:bookmarkStart w:id="23" w:name="introducción"/>
      <w:bookmarkEnd w:id="23"/>
      <w:r>
        <w:t xml:space="preserve">Introducción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hipertensión, que 1999 la OMS denomiana</w:t>
      </w:r>
      <w:r>
        <w:t xml:space="preserve"> </w:t>
      </w:r>
      <w:r>
        <w:t xml:space="preserve">'síndrome metabólico'.</w:t>
      </w:r>
    </w:p>
    <w:p>
      <w:pPr>
        <w:pStyle w:val="BodyText"/>
      </w:pPr>
      <w:r>
        <w:t xml:space="preserve">Diversas instituciones han establecido criterios buscando definir la</w:t>
      </w:r>
      <w:r>
        <w:t xml:space="preserve"> </w:t>
      </w:r>
      <w:r>
        <w:t xml:space="preserve">lista de factores que lo componen, siendo los aceptados de forma común:</w:t>
      </w:r>
      <w:r>
        <w:t xml:space="preserve"> </w:t>
      </w:r>
      <w:r>
        <w:t xml:space="preserve">obesidad abdominal, dislipidemia aterogénica, aumento de la presión</w:t>
      </w:r>
      <w:r>
        <w:t xml:space="preserve"> </w:t>
      </w:r>
      <w:r>
        <w:t xml:space="preserve">arterial, resistencia insulina, estado proinflamatorio y estado</w:t>
      </w:r>
      <w:r>
        <w:t xml:space="preserve"> </w:t>
      </w:r>
      <w:r>
        <w:t xml:space="preserve">protrombótico. Aunque no se ha llegado a un acuerdo sobre todos los</w:t>
      </w:r>
      <w:r>
        <w:t xml:space="preserve"> </w:t>
      </w:r>
      <w:r>
        <w:t xml:space="preserve">factores y varemos que pudieran determinar el diagnóstico del SM com</w:t>
      </w:r>
      <w:r>
        <w:t xml:space="preserve"> </w:t>
      </w:r>
      <w:r>
        <w:t xml:space="preserve">tal.</w:t>
      </w:r>
    </w:p>
    <w:p>
      <w:pPr>
        <w:pStyle w:val="BodyText"/>
      </w:pPr>
      <w:r>
        <w:t xml:space="preserve">Finalmente se ha visto que el enfoque adecuado, en vez de pretender</w:t>
      </w:r>
      <w:r>
        <w:t xml:space="preserve"> </w:t>
      </w:r>
      <w:r>
        <w:t xml:space="preserve">realizar un diagnóstico de SM que cumpla una lista cerrada de criterios,</w:t>
      </w:r>
      <w:r>
        <w:t xml:space="preserve"> </w:t>
      </w:r>
      <w:r>
        <w:t xml:space="preserve">sea una guía que ayude a detectar los factores de riesgo que pueden</w:t>
      </w:r>
      <w:r>
        <w:t xml:space="preserve"> </w:t>
      </w:r>
      <w:r>
        <w:t xml:space="preserve">desembocar en diabetes y enfermedades cardiovasculares. De esta manera</w:t>
      </w:r>
      <w:r>
        <w:t xml:space="preserve"> </w:t>
      </w:r>
      <w:r>
        <w:t xml:space="preserve">resulta una mejor herramienta clínica para la prevención y detección del</w:t>
      </w:r>
      <w:r>
        <w:t xml:space="preserve"> </w:t>
      </w:r>
      <w:r>
        <w:t xml:space="preserve">riesgo de esas enfermedades.</w:t>
      </w:r>
    </w:p>
    <w:p>
      <w:pPr>
        <w:pStyle w:val="BodyText"/>
      </w:pPr>
      <w:r>
        <w:t xml:space="preserve">Así, desde el punto de vista operativo, SM es el conjunto de</w:t>
      </w:r>
      <w:r>
        <w:t xml:space="preserve"> </w:t>
      </w:r>
      <w:r>
        <w:t xml:space="preserve">alteraciones metabólicas y vasculares que parten de la obesidad</w:t>
      </w:r>
      <w:r>
        <w:t xml:space="preserve"> </w:t>
      </w:r>
      <w:r>
        <w:t xml:space="preserve">abdominal y la resistencia insulina, fenómenos que a través de procesos</w:t>
      </w:r>
      <w:r>
        <w:t xml:space="preserve"> </w:t>
      </w:r>
      <w:r>
        <w:t xml:space="preserve">inflamatorios, oxidativos y de disfunción endotelial, predisponen a un</w:t>
      </w:r>
      <w:r>
        <w:t xml:space="preserve"> </w:t>
      </w:r>
      <w:r>
        <w:t xml:space="preserve">mayor riesgo de diabetes y eventos cardiovasculares.</w:t>
      </w:r>
    </w:p>
    <w:p>
      <w:pPr>
        <w:pStyle w:val="Heading2"/>
      </w:pPr>
      <w:bookmarkStart w:id="24" w:name="historia"/>
      <w:bookmarkEnd w:id="24"/>
      <w:r>
        <w:t xml:space="preserve">Historia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Trisíndrome metabólico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≥ 0,9 en hombres y ≥ 0,85 en mujeres o</w:t>
            </w:r>
            <w:r>
              <w:t xml:space="preserve"> </w:t>
            </w:r>
            <w:r>
              <w:t xml:space="preserve">un IMC ≥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central:≥102cm hombre, ≥88cm mujer, con</w:t>
            </w:r>
            <w:r>
              <w:t xml:space="preserve"> </w:t>
            </w:r>
            <w:r>
              <w:t xml:space="preserve">triglicéridos altos, con colesterol HDL</w:t>
            </w:r>
            <w:r>
              <w:t xml:space="preserve"> </w:t>
            </w:r>
            <w:r>
              <w:t xml:space="preserve">(c-HDL) bajo, hipertensión arterial y</w:t>
            </w:r>
            <w:r>
              <w:t xml:space="preserve"> </w:t>
            </w:r>
            <w:r>
              <w:t xml:space="preserve">glucemias ≥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≥ 135/85 mmHg, a</w:t>
            </w:r>
            <w:r>
              <w:t xml:space="preserve"> </w:t>
            </w:r>
            <w:r>
              <w:t xml:space="preserve">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≥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2"/>
      </w:pPr>
      <w:bookmarkStart w:id="25" w:name="qué-es"/>
      <w:bookmarkEnd w:id="25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</w:t>
      </w:r>
      <w:r>
        <w:br w:type="textWrapping"/>
      </w:r>
      <w:r>
        <w:t xml:space="preserve">- aumento de la presión arterial</w:t>
      </w:r>
      <w:r>
        <w:br w:type="textWrapping"/>
      </w:r>
      <w:r>
        <w:t xml:space="preserve">- niveles altos de azúcar en sangre</w:t>
      </w:r>
      <w:r>
        <w:br w:type="textWrapping"/>
      </w:r>
      <w:r>
        <w:t xml:space="preserve">- exceso de grasa corporal alrededor de la cintura</w:t>
      </w:r>
      <w:r>
        <w:br w:type="textWrapping"/>
      </w:r>
      <w:r>
        <w:t xml:space="preserve">- niveles anormales de colesterol o triglicéridos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1"/>
      </w:pPr>
      <w:bookmarkStart w:id="28" w:name="material-y-métodos"/>
      <w:bookmarkEnd w:id="28"/>
      <w:r>
        <w:t xml:space="preserve">Material y métodos</w:t>
      </w:r>
    </w:p>
    <w:p>
      <w:pPr>
        <w:pStyle w:val="Heading1"/>
      </w:pPr>
      <w:bookmarkStart w:id="29" w:name="resultados"/>
      <w:bookmarkEnd w:id="29"/>
      <w:r>
        <w:t xml:space="preserve">Resultados</w:t>
      </w:r>
    </w:p>
    <w:p>
      <w:pPr>
        <w:pStyle w:val="Heading1"/>
      </w:pPr>
      <w:bookmarkStart w:id="30" w:name="discusión"/>
      <w:bookmarkEnd w:id="30"/>
      <w:r>
        <w:t xml:space="preserve">Discusión</w:t>
      </w:r>
    </w:p>
    <w:p>
      <w:pPr>
        <w:pStyle w:val="Heading1"/>
      </w:pPr>
      <w:bookmarkStart w:id="31" w:name="conclusión"/>
      <w:bookmarkEnd w:id="31"/>
      <w:r>
        <w:t xml:space="preserve">Conclusión</w:t>
      </w:r>
    </w:p>
    <w:p>
      <w:pPr>
        <w:pStyle w:val="Heading1"/>
      </w:pPr>
      <w:bookmarkStart w:id="32" w:name="bibliografía"/>
      <w:bookmarkEnd w:id="32"/>
      <w:r>
        <w:t xml:space="preserve">Bibliografía</w:t>
      </w:r>
    </w:p>
    <w:p>
      <w:pPr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numPr>
          <w:numId w:val="1005"/>
          <w:ilvl w:val="0"/>
        </w:numPr>
      </w:pPr>
      <w:hyperlink r:id="rId36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numPr>
          <w:numId w:val="1005"/>
          <w:ilvl w:val="0"/>
        </w:numPr>
      </w:pPr>
      <w:hyperlink r:id="rId37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numPr>
          <w:numId w:val="1005"/>
          <w:ilvl w:val="0"/>
        </w:numPr>
      </w:pPr>
      <w:hyperlink r:id="rId38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numPr>
          <w:numId w:val="1005"/>
          <w:ilvl w:val="0"/>
        </w:numPr>
      </w:pPr>
      <w:hyperlink r:id="rId39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https://www.mayoclinic.org/es-es/diseases-conditions/metabolic-syndrome/diagnosis-treatment/drc-20351921</w:t>
        </w:r>
      </w:hyperlink>
    </w:p>
    <w:p>
      <w:pPr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Heading1"/>
      </w:pPr>
      <w:bookmarkStart w:id="44" w:name="anexos"/>
      <w:bookmarkEnd w:id="44"/>
      <w:r>
        <w:t xml:space="preserve">Anexos</w:t>
      </w:r>
    </w:p>
    <w:p>
      <w:pPr>
        <w:pStyle w:val="Heading2"/>
      </w:pPr>
      <w:bookmarkStart w:id="45" w:name="vocabulario"/>
      <w:bookmarkEnd w:id="45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46" w:name="abreviaturas"/>
      <w:bookmarkEnd w:id="46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f007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e59a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dspace.utalca.cl/handle/1950/4714" TargetMode="External" /><Relationship Type="http://schemas.openxmlformats.org/officeDocument/2006/relationships/hyperlink" Id="rId34" Target="http://scielo.isciii.es/scielo.php?script=sci_arttext&amp;pid=S1137-66272016000200009&amp;lng=es&amp;nrm=iso" TargetMode="External" /><Relationship Type="http://schemas.openxmlformats.org/officeDocument/2006/relationships/hyperlink" Id="rId36" Target="https://doi.org/10.1373/clinchem.2005.048611" TargetMode="External" /><Relationship Type="http://schemas.openxmlformats.org/officeDocument/2006/relationships/hyperlink" Id="rId39" Target="https://isanidad.com/67663/la-falta-de-sueno-puede-disminuir-el-colesterol-bueno/" TargetMode="External" /><Relationship Type="http://schemas.openxmlformats.org/officeDocument/2006/relationships/hyperlink" Id="rId41" Target="https://middlesexhealth.org/learning-center/espanol/enfermedades-y-afecciones/s-ndrome-metab-lico" TargetMode="External" /><Relationship Type="http://schemas.openxmlformats.org/officeDocument/2006/relationships/hyperlink" Id="rId38" Target="https://ruc.udc.es/dspace/handle/2183/16548" TargetMode="External" /><Relationship Type="http://schemas.openxmlformats.org/officeDocument/2006/relationships/hyperlink" Id="rId40" Target="https://www.cun.es/enfermedades-tratamientos/enfermedades/sindrome-metabolico" TargetMode="External" /><Relationship Type="http://schemas.openxmlformats.org/officeDocument/2006/relationships/hyperlink" Id="rId35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42" Target="https://www.mayoclinic.org/es-es/diseases-conditions/metabolic-syndrome/diagnosis-treatment/drc-20351921" TargetMode="External" /><Relationship Type="http://schemas.openxmlformats.org/officeDocument/2006/relationships/hyperlink" Id="rId43" Target="https://www.mayoclinic.org/es-es/diseases-conditions/metabolic-syndrome/symptoms-causes/syc-20351916" TargetMode="External" /><Relationship Type="http://schemas.openxmlformats.org/officeDocument/2006/relationships/hyperlink" Id="rId3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2022-01-18T19:44:24Z</dcterms:created>
  <dcterms:modified xsi:type="dcterms:W3CDTF">2022-01-18T19:44:24Z</dcterms:modified>
</cp:coreProperties>
</file>