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abreviaturas"/>
      <w:bookmarkEnd w:id="9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0" w:name="glosario"/>
      <w:bookmarkEnd w:id="10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1" w:name="evolución-histórica-de-los-criterios-del-síndrome-metabólico"/>
      <w:bookmarkEnd w:id="10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2" w:name="díptico"/>
      <w:bookmarkEnd w:id="10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Heading2"/>
      </w:pPr>
      <w:bookmarkStart w:id="104" w:name="encuesta"/>
      <w:bookmarkEnd w:id="104"/>
      <w:r>
        <w:t xml:space="preserve">Encuesta</w:t>
      </w:r>
    </w:p>
    <w:p>
      <w:pPr>
        <w:pStyle w:val="Heading2"/>
      </w:pPr>
      <w:bookmarkStart w:id="105" w:name="síndrome-metabólico-en-españa-prevalencia-y-riesgo-coronario-asociado-a-la-definición-armonizada-y-a-la-propuesta-por-la-oms.-estudio-darios"/>
      <w:bookmarkEnd w:id="105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 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</w:t>
      </w:r>
      <w:r>
        <w:t xml:space="preserve"> </w:t>
      </w:r>
      <w:r>
        <w:t xml:space="preserve">abdominal y de cHDL 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</w:t>
      </w:r>
      <w:r>
        <w:t xml:space="preserve"> </w:t>
      </w:r>
      <w:r>
        <w:t xml:space="preserve">e hipertrigliceridemia 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 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ead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1643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91f7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2022-04-17T22:38:43Z</dcterms:created>
  <dcterms:modified xsi:type="dcterms:W3CDTF">2022-04-17T22:38:43Z</dcterms:modified>
</cp:coreProperties>
</file>