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qué-es"/>
      <w:bookmarkEnd w:id="24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5" w:name="objetivos"/>
      <w:bookmarkEnd w:id="25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6" w:name="parte-teórica"/>
      <w:bookmarkEnd w:id="26"/>
      <w:r>
        <w:t xml:space="preserve">Parte teórica</w:t>
      </w:r>
    </w:p>
    <w:p>
      <w:pPr>
        <w:pStyle w:val="Heading1"/>
      </w:pPr>
      <w:bookmarkStart w:id="27" w:name="material-y-métodos"/>
      <w:bookmarkEnd w:id="27"/>
      <w:r>
        <w:t xml:space="preserve">Material y métodos</w:t>
      </w:r>
    </w:p>
    <w:p>
      <w:pPr>
        <w:pStyle w:val="Heading1"/>
      </w:pPr>
      <w:bookmarkStart w:id="28" w:name="resultados"/>
      <w:bookmarkEnd w:id="28"/>
      <w:r>
        <w:t xml:space="preserve">Resultados</w:t>
      </w:r>
    </w:p>
    <w:p>
      <w:pPr>
        <w:pStyle w:val="Heading1"/>
      </w:pPr>
      <w:bookmarkStart w:id="29" w:name="discusión"/>
      <w:bookmarkEnd w:id="29"/>
      <w:r>
        <w:t xml:space="preserve">Discusión</w:t>
      </w:r>
    </w:p>
    <w:p>
      <w:pPr>
        <w:pStyle w:val="Heading1"/>
      </w:pPr>
      <w:bookmarkStart w:id="30" w:name="conclusión"/>
      <w:bookmarkEnd w:id="30"/>
      <w:r>
        <w:t xml:space="preserve">Conclusión</w:t>
      </w:r>
    </w:p>
    <w:p>
      <w:pPr>
        <w:pStyle w:val="Heading1"/>
      </w:pPr>
      <w:bookmarkStart w:id="31" w:name="bibliografía"/>
      <w:bookmarkEnd w:id="31"/>
      <w:r>
        <w:t xml:space="preserve">Bibliografía</w:t>
      </w:r>
    </w:p>
    <w:p>
      <w:pPr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3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r>
        <w:t xml:space="preserve">Gerald M Reaven, The Metabolic Syndrome: Requiescat in Pace,</w:t>
      </w:r>
      <w:r>
        <w:t xml:space="preserve"> </w:t>
      </w:r>
      <w:r>
        <w:t xml:space="preserve">Clinical Chemistry, Volume 51, Issue 6, 1 June 2005, Pages 931–938,</w:t>
      </w:r>
      <w:r>
        <w:t xml:space="preserve"> </w:t>
      </w:r>
      <w:r>
        <w:t xml:space="preserve">https://doi.org/10.1373/clinchem.2005.048611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Coruña</w:t>
        </w:r>
      </w:hyperlink>
      <w:r>
        <w:t xml:space="preserve"> </w:t>
      </w:r>
      <w:r>
        <w:t xml:space="preserve"># Anexos</w:t>
      </w:r>
    </w:p>
    <w:p>
      <w:pPr>
        <w:pStyle w:val="Heading2"/>
      </w:pPr>
      <w:bookmarkStart w:id="42" w:name="vocabulario"/>
      <w:bookmarkEnd w:id="42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3" w:name="abreviaturas"/>
      <w:bookmarkEnd w:id="43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01a4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4056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41" Target="https://ruc.udc.es/dspace/handle/2183/16548" TargetMode="External" /><Relationship Type="http://schemas.openxmlformats.org/officeDocument/2006/relationships/hyperlink" Id="rId37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8" Target="https://www.mayoclinic.org/es-es/diseases-conditions/metabolic-syndrome/diagnosis-treatment/drc-20351921" TargetMode="External" /><Relationship Type="http://schemas.openxmlformats.org/officeDocument/2006/relationships/hyperlink" Id="rId39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41" Target="https://ruc.udc.es/dspace/handle/2183/16548" TargetMode="External" /><Relationship Type="http://schemas.openxmlformats.org/officeDocument/2006/relationships/hyperlink" Id="rId37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8" Target="https://www.mayoclinic.org/es-es/diseases-conditions/metabolic-syndrome/diagnosis-treatment/drc-20351921" TargetMode="External" /><Relationship Type="http://schemas.openxmlformats.org/officeDocument/2006/relationships/hyperlink" Id="rId39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2022-01-18T19:22:57Z</dcterms:created>
  <dcterms:modified xsi:type="dcterms:W3CDTF">2022-01-18T19:22:57Z</dcterms:modified>
</cp:coreProperties>
</file>