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3.1 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3.2 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3.2.1 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3.2.2 Por grupos de población</w:t>
      </w:r>
    </w:p>
    <w:p>
      <w:pPr>
        <w:pStyle w:val="Compact"/>
        <w:numPr>
          <w:numId w:val="1005"/>
          <w:ilvl w:val="3"/>
        </w:numPr>
      </w:pPr>
      <w:r>
        <w:t xml:space="preserve">3.2.2.1 SM en el hombre</w:t>
      </w:r>
    </w:p>
    <w:p>
      <w:pPr>
        <w:pStyle w:val="Compact"/>
        <w:numPr>
          <w:numId w:val="1005"/>
          <w:ilvl w:val="3"/>
        </w:numPr>
      </w:pPr>
      <w:r>
        <w:t xml:space="preserve">3.2.2.2 SM en la mujer</w:t>
      </w:r>
      <w:r>
        <w:t xml:space="preserve"> </w:t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Embarazo. Complicaciones materno-fetales</w:t>
      </w:r>
    </w:p>
    <w:p>
      <w:pPr>
        <w:pStyle w:val="Compact"/>
        <w:numPr>
          <w:numId w:val="1005"/>
          <w:ilvl w:val="3"/>
        </w:numPr>
      </w:pPr>
      <w:r>
        <w:t xml:space="preserve">3.2.2.3 SM en la infancia</w:t>
      </w:r>
    </w:p>
    <w:p>
      <w:pPr>
        <w:pStyle w:val="Compact"/>
        <w:numPr>
          <w:numId w:val="1005"/>
          <w:ilvl w:val="3"/>
        </w:numPr>
      </w:pPr>
      <w:r>
        <w:t xml:space="preserve">3.2.2.4 SM en la tercera edad</w:t>
      </w:r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</w:t>
      </w:r>
      <w:r>
        <w:t xml:space="preserve"> </w:t>
      </w:r>
      <w:r>
        <w:t xml:space="preserve">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8. Bibliografía</w:t>
        </w:r>
      </w:hyperlink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tabla-1">
        <w:r>
          <w:rPr>
            <w:rStyle w:val="Hyperlink"/>
          </w:rPr>
          <w:t xml:space="preserve">Tabla 1: Historia</w:t>
        </w:r>
      </w:hyperlink>
      <w:r>
        <w:br w:type="textWrapping"/>
      </w:r>
      <w:hyperlink w:anchor="tabla-2">
        <w:r>
          <w:rPr>
            <w:rStyle w:val="Hyperlink"/>
          </w:rPr>
          <w:t xml:space="preserve">Tabla 2: Indice de Masa Corporal, Circunferencia Abdominal y Riesgo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Enfermedad Cardiovascular</w:t>
        </w:r>
      </w:hyperlink>
      <w:r>
        <w:br w:type="textWrapping"/>
      </w:r>
      <w:hyperlink w:anchor="tabla-3">
        <w:r>
          <w:rPr>
            <w:rStyle w:val="Hyperlink"/>
          </w:rPr>
          <w:t xml:space="preserve">Tabla 3: Criterios diagnósticos del Síndrome Metabólico (NCEP ATP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III)</w:t>
        </w:r>
      </w:hyperlink>
      <w:r>
        <w:br w:type="textWrapping"/>
      </w:r>
      <w:hyperlink w:anchor="tabla-4">
        <w:r>
          <w:rPr>
            <w:rStyle w:val="Hyperlink"/>
          </w:rPr>
          <w:t xml:space="preserve">Tabla 4: Diagnóstico de Síndrome Metabólico. Criterios de la IDF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(International Diabetes Federation</w:t>
        </w:r>
      </w:hyperlink>
      <w:r>
        <w:br w:type="textWrapping"/>
      </w:r>
      <w:hyperlink w:anchor="tabla-5">
        <w:r>
          <w:rPr>
            <w:rStyle w:val="Hyperlink"/>
          </w:rPr>
          <w:t xml:space="preserve">Tabla 5: Valores de circunferencia abdominal indicándose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especificidad étnica</w:t>
        </w:r>
      </w:hyperlink>
    </w:p>
    <w:p>
      <w:pPr>
        <w:pStyle w:val="BodyText"/>
      </w:pPr>
    </w:p>
    <w:p>
      <w:pPr>
        <w:pStyle w:val="Heading1"/>
      </w:pPr>
      <w:bookmarkStart w:id="25" w:name="i.-introducción"/>
      <w:bookmarkEnd w:id="25"/>
      <w:r>
        <w:t xml:space="preserve">I. Introducción</w:t>
      </w:r>
    </w:p>
    <w:p>
      <w:pPr>
        <w:pStyle w:val="FirstParagraph"/>
      </w:pPr>
      <w:r>
        <w:t xml:space="preserve">A lo largo del último siglo, los hábitos de vida han cambiado</w:t>
      </w:r>
      <w:r>
        <w:t xml:space="preserve"> </w:t>
      </w:r>
      <w:r>
        <w:t xml:space="preserve">enormemente. Nuestros modos de vida son progresivamente más sedentarios,</w:t>
      </w:r>
      <w:r>
        <w:t xml:space="preserve"> </w:t>
      </w:r>
      <w:r>
        <w:t xml:space="preserve">por lo que la cantidad de energía que consumimos para nuestra actividad</w:t>
      </w:r>
      <w:r>
        <w:t xml:space="preserve"> </w:t>
      </w:r>
      <w:r>
        <w:t xml:space="preserve">diaria ha disminuido. En paralelo, en nuestra alimentación ha aumentado</w:t>
      </w:r>
      <w:r>
        <w:t xml:space="preserve"> </w:t>
      </w:r>
      <w:r>
        <w:t xml:space="preserve">la 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 de la caza, la pesca y la recolección, lo que les suponía</w:t>
      </w:r>
      <w:r>
        <w:t xml:space="preserve"> </w:t>
      </w:r>
      <w:r>
        <w:t xml:space="preserve">una gran actividad física con gasto enorme de energía. Esta dificultad</w:t>
      </w:r>
      <w:r>
        <w:t xml:space="preserve"> </w:t>
      </w:r>
      <w:r>
        <w:t xml:space="preserve">para conseguir alimento les llevaba a comer en abundancia cuando tenían</w:t>
      </w:r>
      <w:r>
        <w:t xml:space="preserve"> </w:t>
      </w:r>
      <w:r>
        <w:t xml:space="preserve">comida, y a largos periodos de escasez de alimento. Es por esto que la</w:t>
      </w:r>
      <w:r>
        <w:t xml:space="preserve"> </w:t>
      </w:r>
      <w:r>
        <w:t xml:space="preserve">selección natural ha premiado a aquellos individuos con una mayor</w:t>
      </w:r>
      <w:r>
        <w:t xml:space="preserve"> </w:t>
      </w:r>
      <w:r>
        <w:t xml:space="preserve">capacidad para acumular grasas, ya que con ello aumentaran su capacidad</w:t>
      </w:r>
      <w:r>
        <w:t xml:space="preserve"> </w:t>
      </w:r>
      <w:r>
        <w:t xml:space="preserve">de supervivencia en épocas de escasez.</w:t>
      </w:r>
    </w:p>
    <w:p>
      <w:pPr>
        <w:pStyle w:val="BodyText"/>
      </w:pPr>
      <w:r>
        <w:t xml:space="preserve">La obesidad es tan antigua como la humanidad, ya que se consideraba como</w:t>
      </w:r>
      <w:r>
        <w:t xml:space="preserve"> </w:t>
      </w:r>
      <w:r>
        <w:t xml:space="preserve">una garantía de supervivencia ante las enfermedades y la incertidumbre</w:t>
      </w:r>
      <w:r>
        <w:t xml:space="preserve"> </w:t>
      </w:r>
      <w:r>
        <w:t xml:space="preserve">por la cantidad de alimento disponible. Por ello era considerada como</w:t>
      </w:r>
      <w:r>
        <w:t xml:space="preserve"> </w:t>
      </w:r>
      <w:r>
        <w:t xml:space="preserve">buena, deseable e incluso como símbolo de estatus y belleza.</w:t>
      </w:r>
    </w:p>
    <w:p>
      <w:pPr>
        <w:pStyle w:val="BodyText"/>
      </w:pPr>
      <w:r>
        <w:t xml:space="preserve">Esto se trasladó también al criterio médico ya que desde finales del s.</w:t>
      </w:r>
      <w:r>
        <w:t xml:space="preserve"> </w:t>
      </w:r>
      <w:r>
        <w:t xml:space="preserve">XIX y hasta principios del s. XX la opinión médica era que tener de 10 a</w:t>
      </w:r>
      <w:r>
        <w:t xml:space="preserve"> </w:t>
      </w:r>
      <w:r>
        <w:t xml:space="preserve">20 kilos de exceso de peso era saludable, mientras que ser delgado no</w:t>
      </w:r>
      <w:r>
        <w:t xml:space="preserve"> </w:t>
      </w:r>
      <w:r>
        <w:t xml:space="preserve">era sano y se atribuía a enfermedades nerviosas.</w:t>
      </w:r>
    </w:p>
    <w:p>
      <w:pPr>
        <w:pStyle w:val="BodyText"/>
      </w:pPr>
      <w:r>
        <w:t xml:space="preserve">Curiosamente las primeras voces de alarma acerca de la relación del</w:t>
      </w:r>
      <w:r>
        <w:t xml:space="preserve"> </w:t>
      </w:r>
      <w:r>
        <w:t xml:space="preserve">sobrepeso con un aumento de la mortalidad, fueron las compañias de</w:t>
      </w:r>
      <w:r>
        <w:t xml:space="preserve"> </w:t>
      </w:r>
      <w:r>
        <w:t xml:space="preserve">seguros.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En los años 30 la comunidad médica ya lo aceptaba como un problema. Y es</w:t>
      </w:r>
      <w:r>
        <w:t xml:space="preserve"> </w:t>
      </w:r>
      <w:r>
        <w:t xml:space="preserve">a partir de los años 60 que comienzan los estudios a sobre la obesidad</w:t>
      </w:r>
      <w:r>
        <w:t xml:space="preserve"> </w:t>
      </w:r>
      <w:r>
        <w:t xml:space="preserve">como una patología. También aumenta el conocimiento acerca de la grasa,</w:t>
      </w:r>
      <w:r>
        <w:t xml:space="preserve"> </w:t>
      </w:r>
      <w:r>
        <w:t xml:space="preserve">que se entiende como un órgano con sus propias hormonas, genética y</w:t>
      </w:r>
      <w:r>
        <w:t xml:space="preserve"> </w:t>
      </w:r>
      <w:r>
        <w:t xml:space="preserve">biología celular.</w:t>
      </w:r>
    </w:p>
    <w:p>
      <w:pPr>
        <w:pStyle w:val="BodyText"/>
      </w:pPr>
      <w:r>
        <w:t xml:space="preserve">Síndrome metabólico (SM) es el conjunto de alteraciones metabólicas y</w:t>
      </w:r>
      <w:r>
        <w:t xml:space="preserve"> </w:t>
      </w:r>
      <w:r>
        <w:t xml:space="preserve">vasculares que parten de la obesidad abdominal y la resistencia a la</w:t>
      </w:r>
      <w:r>
        <w:t xml:space="preserve"> </w:t>
      </w:r>
      <w:r>
        <w:t xml:space="preserve">insulina(RI), fenómenos que a través de procesos inflamatorios,</w:t>
      </w:r>
      <w:r>
        <w:t xml:space="preserve"> </w:t>
      </w:r>
      <w:r>
        <w:t xml:space="preserve">oxidativos y de disfunción endotelial, predisponen a un mayor riesgo de</w:t>
      </w:r>
      <w:r>
        <w:t xml:space="preserve"> </w:t>
      </w:r>
      <w:r>
        <w:t xml:space="preserve">diabetes y eventos cardiovasculares.</w:t>
      </w:r>
    </w:p>
    <w:p>
      <w:pPr>
        <w:pStyle w:val="BodyText"/>
      </w:pPr>
      <w:r>
        <w:t xml:space="preserve">El SM no es una enfermedad nueva; como señala Braguinsky, su descripción</w:t>
      </w:r>
      <w:r>
        <w:t xml:space="preserve"> </w:t>
      </w:r>
      <w:r>
        <w:t xml:space="preserve">tuvo lugar hace al menos 80 años por parte de Kylin, un médico sueco que</w:t>
      </w:r>
      <w:r>
        <w:t xml:space="preserve"> </w:t>
      </w:r>
      <w:r>
        <w:t xml:space="preserve">definió la asociación entre hipertensión, hiperglicemia y gota.</w:t>
      </w:r>
    </w:p>
    <w:p>
      <w:pPr>
        <w:pStyle w:val="BodyText"/>
      </w:pPr>
      <w:r>
        <w:t xml:space="preserve">El primer intento de definición lo realizó Gerarld Reaven en 1988,</w:t>
      </w:r>
      <w:r>
        <w:t xml:space="preserve"> </w:t>
      </w:r>
      <w:r>
        <w:t xml:space="preserve">cuando llamó 'síndrome X' a la agrupación de RI, dislipidemia e</w:t>
      </w:r>
      <w:r>
        <w:t xml:space="preserve"> </w:t>
      </w:r>
      <w:r>
        <w:t xml:space="preserve">hipertensión.</w:t>
      </w:r>
    </w:p>
    <w:p>
      <w:pPr>
        <w:pStyle w:val="BodyText"/>
      </w:pPr>
      <w:r>
        <w:t xml:space="preserve">En 1999 la OMS cambió la denominación a 'Síndrome metabólico', y</w:t>
      </w:r>
      <w:r>
        <w:t xml:space="preserve"> </w:t>
      </w:r>
      <w:r>
        <w:t xml:space="preserve">estableció una definición en la que considera que hay evidencia de que</w:t>
      </w:r>
      <w:r>
        <w:t xml:space="preserve"> </w:t>
      </w:r>
      <w:r>
        <w:t xml:space="preserve">la RI como el factor causal común de los componentes individuales del</w:t>
      </w:r>
      <w:r>
        <w:t xml:space="preserve"> </w:t>
      </w:r>
      <w:r>
        <w:t xml:space="preserve">síndrome metabólico, aunque afectando de forma diferente a cada uno de</w:t>
      </w:r>
      <w:r>
        <w:t xml:space="preserve"> </w:t>
      </w:r>
      <w:r>
        <w:t xml:space="preserve">ellos. También que cada uno es un factor de riesgo cardiovascular pero</w:t>
      </w:r>
      <w:r>
        <w:t xml:space="preserve"> </w:t>
      </w:r>
      <w:r>
        <w:t xml:space="preserve">en combinación son mucho más potentes, y que el tratamiento no debe</w:t>
      </w:r>
      <w:r>
        <w:t xml:space="preserve"> </w:t>
      </w:r>
      <w:r>
        <w:t xml:space="preserve">enfocarse únicamente al control de la glucosa, si no incluir también</w:t>
      </w:r>
      <w:r>
        <w:t xml:space="preserve"> </w:t>
      </w:r>
      <w:r>
        <w:t xml:space="preserve">estrategias para reducir los factores de riesgo cardiovascular.</w:t>
      </w:r>
    </w:p>
    <w:p>
      <w:pPr>
        <w:pStyle w:val="BodyText"/>
      </w:pPr>
      <w:r>
        <w:t xml:space="preserve">Diversos investigadores e instituciones han establecido posteriormente</w:t>
      </w:r>
      <w:r>
        <w:t xml:space="preserve"> </w:t>
      </w:r>
      <w:r>
        <w:t xml:space="preserve">criterios buscando definir la lista de factores que lo componen, siendo</w:t>
      </w:r>
      <w:r>
        <w:t xml:space="preserve"> </w:t>
      </w:r>
      <w:r>
        <w:t xml:space="preserve">los aceptados de forma común: obesidad abdominal (perímetro de contorno</w:t>
      </w:r>
      <w:r>
        <w:t xml:space="preserve"> </w:t>
      </w:r>
      <w:r>
        <w:t xml:space="preserve">de cintura), dislipidemia aterogénica, aumento de la presión arterial,</w:t>
      </w:r>
      <w:r>
        <w:t xml:space="preserve"> </w:t>
      </w:r>
      <w:r>
        <w:t xml:space="preserve">resistencia insulina, estado proinflamatorio y estado protrombótico.</w:t>
      </w:r>
      <w:r>
        <w:t xml:space="preserve"> </w:t>
      </w:r>
      <w:r>
        <w:t xml:space="preserve">Aunque no se ha llegado a un acuerdo sobre todos los factores y varemos</w:t>
      </w:r>
      <w:r>
        <w:t xml:space="preserve"> </w:t>
      </w:r>
      <w:r>
        <w:t xml:space="preserve">que pudieran determinar el diagnóstico del SM com tal.</w:t>
      </w:r>
    </w:p>
    <w:p>
      <w:pPr>
        <w:pStyle w:val="BodyText"/>
      </w:pPr>
      <w:r>
        <w:t xml:space="preserve">(historia y controversias)</w:t>
      </w:r>
    </w:p>
    <w:p>
      <w:pPr>
        <w:pStyle w:val="BodyText"/>
      </w:pPr>
      <w:r>
        <w:t xml:space="preserve">(variación por etnias)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sea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factores genéticos</w:t>
      </w:r>
      <w:r>
        <w:t xml:space="preserve"> </w:t>
      </w:r>
      <w:r>
        <w:t xml:space="preserve">(endógenos) y ambientales como la alimentación y hábitos de vida.</w:t>
      </w:r>
    </w:p>
    <w:p>
      <w:pPr>
        <w:pStyle w:val="BodyText"/>
      </w:pPr>
      <w:r>
        <w:t xml:space="preserve">Una alimentación con elevado consumo de grasas saturadas y de alto nivel</w:t>
      </w:r>
      <w:r>
        <w:t xml:space="preserve"> </w:t>
      </w:r>
      <w:r>
        <w:t xml:space="preserve">calórico, junto con una vida sendentaria son factores determinantes para</w:t>
      </w:r>
      <w:r>
        <w:t xml:space="preserve"> </w:t>
      </w:r>
      <w:r>
        <w:t xml:space="preserve">su desarrollo. Solo un 10% de los casos de SM tiene causas</w:t>
      </w:r>
      <w:r>
        <w:t xml:space="preserve"> </w:t>
      </w:r>
      <w:r>
        <w:t xml:space="preserve">genéticas.[Salto de ajuste de texto]Hay estudios relacionan la</w:t>
      </w:r>
      <w:r>
        <w:t xml:space="preserve"> </w:t>
      </w:r>
      <w:r>
        <w:t xml:space="preserve">obesidad con causas epigenéticas (como el estado nutricional durante el</w:t>
      </w:r>
      <w:r>
        <w:t xml:space="preserve"> </w:t>
      </w:r>
      <w:r>
        <w:t xml:space="preserve">embarazo), lo que podría acabar derivando de adulto en obesidad.</w:t>
      </w:r>
      <w:r>
        <w:br w:type="textWrapping"/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BodyText"/>
      </w:pP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FirstParagraph"/>
      </w:pPr>
      <w:r>
        <w:t xml:space="preserve">UN POCO DE HISTORIA</w:t>
      </w:r>
    </w:p>
    <w:p>
      <w:pPr>
        <w:pStyle w:val="BodyText"/>
      </w:pPr>
      <w:r>
        <w:t xml:space="preserve">(historia y controversias)</w:t>
      </w:r>
    </w:p>
    <w:p>
      <w:pPr>
        <w:pStyle w:val="BodyText"/>
      </w:pPr>
      <w:r>
        <w:t xml:space="preserve">(variación por etnias)</w:t>
      </w:r>
    </w:p>
    <w:p>
      <w:pPr>
        <w:pStyle w:val="Heading2"/>
      </w:pPr>
      <w:bookmarkStart w:id="28" w:name="que-es"/>
      <w:bookmarkEnd w:id="28"/>
      <w:r>
        <w:t xml:space="preserve">Que es</w:t>
      </w:r>
    </w:p>
    <w:p>
      <w:pPr>
        <w:pStyle w:val="FirstParagraph"/>
      </w:pPr>
      <w:r>
        <w:t xml:space="preserve">Síndrome metabólico (SM) es el conjunto de alteraciones metabólicas y</w:t>
      </w:r>
      <w:r>
        <w:t xml:space="preserve"> </w:t>
      </w:r>
      <w:r>
        <w:t xml:space="preserve">vasculares que parten de la obesidad abdominal y la resistencia a la</w:t>
      </w:r>
      <w:r>
        <w:t xml:space="preserve"> </w:t>
      </w:r>
      <w:r>
        <w:t xml:space="preserve">insulina (RI), fenómenos que, a través de procesos inflamatorios y</w:t>
      </w:r>
      <w:r>
        <w:t xml:space="preserve"> </w:t>
      </w:r>
      <w:r>
        <w:t xml:space="preserve">oxidativos predisponen a un mayor riesgo de diabetes y eventos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El término SM se refiere a la asociación de factores de riesgo</w:t>
      </w:r>
      <w:r>
        <w:t xml:space="preserve"> </w:t>
      </w:r>
      <w:r>
        <w:t xml:space="preserve">cardiovasculares cuya fisiopatología se considera relacionada con la</w:t>
      </w:r>
      <w:r>
        <w:t xml:space="preserve"> </w:t>
      </w:r>
      <w:r>
        <w:t xml:space="preserve">insulinorresistencia. A diferencia de la obesidad y la diabetes melitus</w:t>
      </w:r>
      <w:r>
        <w:t xml:space="preserve"> </w:t>
      </w:r>
      <w:r>
        <w:t xml:space="preserve">que tienen un criterio claro, con el SM no sucede lo mismo. La</w:t>
      </w:r>
      <w:r>
        <w:t xml:space="preserve"> </w:t>
      </w:r>
      <w:r>
        <w:t xml:space="preserve">dificultad para que haya unos criterios de corte claros estriba en la</w:t>
      </w:r>
      <w:r>
        <w:t xml:space="preserve"> </w:t>
      </w:r>
      <w:r>
        <w:t xml:space="preserve">cantidad de diferentes elementos que lo conforman. Se introdujo como una</w:t>
      </w:r>
      <w:r>
        <w:t xml:space="preserve"> </w:t>
      </w:r>
      <w:r>
        <w:t xml:space="preserve">herramienta de diagnóstico para identificar a las personas con factores</w:t>
      </w:r>
      <w:r>
        <w:t xml:space="preserve"> </w:t>
      </w:r>
      <w:r>
        <w:t xml:space="preserve">de riesgo cardiovascular y de desarrollar DM2.</w:t>
      </w:r>
    </w:p>
    <w:p>
      <w:pPr>
        <w:pStyle w:val="BodyText"/>
      </w:pPr>
      <w:r>
        <w:t xml:space="preserve">El síndrome metabólico (SM) se define como un conjunto de rasgos</w:t>
      </w:r>
      <w:r>
        <w:t xml:space="preserve"> </w:t>
      </w:r>
      <w:r>
        <w:t xml:space="preserve">clínicos que traducen la resistencia a la insulina. Puede incluir:</w:t>
      </w:r>
      <w:r>
        <w:t xml:space="preserve"> </w:t>
      </w:r>
      <w:r>
        <w:t xml:space="preserve">trastornos de los lípidos, trastornos del manejo de la glucosa, obesidad</w:t>
      </w:r>
      <w:r>
        <w:t xml:space="preserve"> </w:t>
      </w:r>
      <w:r>
        <w:t xml:space="preserve">e hipertensión arterial en diferentes combinaciones, según el criterio</w:t>
      </w:r>
      <w:r>
        <w:t xml:space="preserve"> </w:t>
      </w:r>
      <w:r>
        <w:t xml:space="preserve">de definición empleado.</w:t>
      </w:r>
    </w:p>
    <w:p>
      <w:pPr>
        <w:pStyle w:val="BodyText"/>
      </w:pPr>
      <w:r>
        <w:t xml:space="preserve">La obesidad y la diabetes mellitus tipo 2 (DM2) son enfermedades</w:t>
      </w:r>
      <w:r>
        <w:t xml:space="preserve"> </w:t>
      </w:r>
      <w:r>
        <w:t xml:space="preserve">multifactoriales de considerable heterogeneidad.</w:t>
      </w:r>
    </w:p>
    <w:p>
      <w:pPr>
        <w:pStyle w:val="BodyText"/>
      </w:pPr>
      <w:r>
        <w:t xml:space="preserve">Si bien los criterios diagnósticos para obesidad y DM son de corte</w:t>
      </w:r>
      <w:r>
        <w:t xml:space="preserve"> </w:t>
      </w:r>
      <w:r>
        <w:t xml:space="preserve">claro, no sucede lo mismo con el SM. Esta dificultad se centra en que</w:t>
      </w:r>
      <w:r>
        <w:t xml:space="preserve"> </w:t>
      </w:r>
      <w:r>
        <w:t xml:space="preserve">esta patología, que también es una entidad heterogénea y multifactorial,</w:t>
      </w:r>
      <w:r>
        <w:t xml:space="preserve"> </w:t>
      </w:r>
      <w:r>
        <w:t xml:space="preserve">presenta la sumatoria de los diferentes componentes que la determinan,</w:t>
      </w:r>
      <w:r>
        <w:t xml:space="preserve"> </w:t>
      </w:r>
      <w:r>
        <w:t xml:space="preserve">de forma tal que las diferentes clasificaciones intentan rescatar una</w:t>
      </w:r>
      <w:r>
        <w:t xml:space="preserve"> </w:t>
      </w:r>
      <w:r>
        <w:t xml:space="preserve">forma sencilla de detectar la enfermedad. ## Diagnóstico</w:t>
      </w:r>
    </w:p>
    <w:p>
      <w:pPr>
        <w:pStyle w:val="BodyText"/>
      </w:pPr>
      <w:r>
        <w:t xml:space="preserve">La importancia de hacer el diagnóstico de Síndrome Metabólico radica en</w:t>
      </w:r>
      <w:r>
        <w:t xml:space="preserve"> </w:t>
      </w:r>
      <w:r>
        <w:t xml:space="preserve">que cuando está presente en un paciente es indicador de un elevado</w:t>
      </w:r>
      <w:r>
        <w:t xml:space="preserve"> </w:t>
      </w:r>
      <w:r>
        <w:t xml:space="preserve">riesgo cardiovascular.</w:t>
      </w:r>
    </w:p>
    <w:p>
      <w:pPr>
        <w:pStyle w:val="BodyText"/>
      </w:pPr>
      <w:r>
        <w:t xml:space="preserve">Como se ha indicado ha habido varios intentos para establecer unos</w:t>
      </w:r>
      <w:r>
        <w:t xml:space="preserve"> </w:t>
      </w:r>
      <w:r>
        <w:t xml:space="preserve">criterios que ayuden a diagnosticar SM</w:t>
      </w:r>
      <w:r>
        <w:t xml:space="preserve"> </w:t>
      </w:r>
      <w:hyperlink w:anchor="tabla-3">
        <w:r>
          <w:rPr>
            <w:rStyle w:val="Hyperlink"/>
          </w:rPr>
          <w:t xml:space="preserve">Tabla 3: Criterios diagnósticos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Síndrome Metabólico (NCEP ATP III)</w:t>
        </w:r>
      </w:hyperlink>
      <w:r>
        <w:t xml:space="preserve"> </w:t>
      </w:r>
      <w:hyperlink w:anchor="tabla-4">
        <w:r>
          <w:rPr>
            <w:rStyle w:val="Hyperlink"/>
          </w:rPr>
          <w:t xml:space="preserve">Tabla 4: Diagnóstico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Síndrome Metabólico. Criterios de la IDF (International Diabetes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Federation</w:t>
        </w:r>
      </w:hyperlink>
      <w:r>
        <w:t xml:space="preserve">. No existen unos varemos aceptados universalmente</w:t>
      </w:r>
      <w:r>
        <w:t xml:space="preserve"> </w:t>
      </w:r>
      <w:r>
        <w:t xml:space="preserve">y se ha detectado que los valores de corte difieren según la étnica de</w:t>
      </w:r>
      <w:r>
        <w:t xml:space="preserve"> </w:t>
      </w:r>
      <w:r>
        <w:t xml:space="preserve">los grupos de población.</w:t>
      </w:r>
      <w:hyperlink w:anchor="tabla-5">
        <w:r>
          <w:rPr>
            <w:rStyle w:val="Hyperlink"/>
          </w:rPr>
          <w:t xml:space="preserve">Tabla 5: Valores de circunferencia abdominal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indicándose la especificidad étnica</w:t>
        </w:r>
      </w:hyperlink>
    </w:p>
    <w:p>
      <w:pPr>
        <w:pStyle w:val="Heading3"/>
      </w:pPr>
      <w:bookmarkStart w:id="29" w:name="factores-de-riesgo"/>
      <w:bookmarkEnd w:id="29"/>
      <w:r>
        <w:t xml:space="preserve">Factores de riesgo</w:t>
      </w:r>
    </w:p>
    <w:p>
      <w:pPr>
        <w:pStyle w:val="Heading4"/>
      </w:pPr>
      <w:bookmarkStart w:id="30" w:name="circunferencia-grande-de-cintura"/>
      <w:bookmarkEnd w:id="30"/>
      <w:r>
        <w:t xml:space="preserve">Circunferencia grande de cintura</w:t>
      </w:r>
    </w:p>
    <w:p>
      <w:pPr>
        <w:pStyle w:val="FirstParagraph"/>
      </w:pPr>
      <w:r>
        <w:t xml:space="preserve">La obesidad es el aumento en la acumulación de tejido adiposo (TA) que</w:t>
      </w:r>
      <w:r>
        <w:t xml:space="preserve"> </w:t>
      </w:r>
      <w:r>
        <w:t xml:space="preserve">cursa con aumento del peso corporal, siendo el incremento del diámetro</w:t>
      </w:r>
      <w:r>
        <w:t xml:space="preserve"> </w:t>
      </w:r>
      <w:r>
        <w:t xml:space="preserve">de la circunferencia abdominal un indicador de obesidad.</w:t>
      </w:r>
    </w:p>
    <w:p>
      <w:pPr>
        <w:pStyle w:val="BodyText"/>
      </w:pPr>
      <w:r>
        <w:t xml:space="preserve">Se conoce que la obesidad aumenta el riesgo de aparición de ciertas</w:t>
      </w:r>
      <w:r>
        <w:t xml:space="preserve"> </w:t>
      </w:r>
      <w:r>
        <w:t xml:space="preserve">enfermedades. A mayor IMC más riesgo.</w:t>
      </w:r>
      <w:r>
        <w:t xml:space="preserve"> </w:t>
      </w:r>
      <w:hyperlink w:anchor="tabla-2">
        <w:r>
          <w:rPr>
            <w:rStyle w:val="Hyperlink"/>
          </w:rPr>
          <w:t xml:space="preserve">Tabla 2: Indice de Masa Corporal,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Circunferencia Abdominal y Riesgo de Enfermedad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Cardiovascular</w:t>
        </w:r>
      </w:hyperlink>
    </w:p>
    <w:p>
      <w:pPr>
        <w:pStyle w:val="BodyText"/>
      </w:pPr>
      <w:r>
        <w:t xml:space="preserve">Uno de los efectos secundarios del sobrepeso y la obesidad es la</w:t>
      </w:r>
      <w:r>
        <w:t xml:space="preserve"> </w:t>
      </w:r>
      <w:r>
        <w:t xml:space="preserve">aparición de un aumento en los niveles plasmáticos de insulina</w:t>
      </w:r>
    </w:p>
    <w:p>
      <w:pPr>
        <w:pStyle w:val="BodyText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tisular a la acción</w:t>
      </w:r>
      <w:r>
        <w:t xml:space="preserve"> </w:t>
      </w:r>
      <w:r>
        <w:t xml:space="preserve">de la hormona. Esta falta de sensibilidad provoca como respuesta un</w:t>
      </w:r>
      <w:r>
        <w:t xml:space="preserve"> </w:t>
      </w:r>
      <w:r>
        <w:t xml:space="preserve">aumento excesivo de su producción; que puede desenvocar en una</w:t>
      </w:r>
      <w:r>
        <w:t xml:space="preserve"> </w:t>
      </w:r>
      <w:r>
        <w:t xml:space="preserve">disfunsión metabólica y a la aparición de, entre otras patologías: DM2,</w:t>
      </w:r>
      <w:r>
        <w:t xml:space="preserve"> </w:t>
      </w:r>
      <w:r>
        <w:t xml:space="preserve">ECV, dislipidemias, síndrome de ovario poliquístico e hipertensión</w:t>
      </w:r>
      <w:r>
        <w:t xml:space="preserve"> </w:t>
      </w:r>
      <w:r>
        <w:t xml:space="preserve">arterial.</w:t>
      </w:r>
    </w:p>
    <w:p>
      <w:pPr>
        <w:pStyle w:val="Heading4"/>
      </w:pPr>
      <w:bookmarkStart w:id="31" w:name="colesterol-bueno-o-de-lipoproteínas-de-alta-densidad-reducido"/>
      <w:bookmarkEnd w:id="31"/>
      <w:r>
        <w:t xml:space="preserve">Colesterol bueno o de lipoproteínas de alta densidad reducido</w:t>
      </w:r>
    </w:p>
    <w:p>
      <w:pPr>
        <w:pStyle w:val="Heading4"/>
      </w:pPr>
      <w:bookmarkStart w:id="32" w:name="glucosa-sanguínea-en-ayunas-elevada"/>
      <w:bookmarkEnd w:id="32"/>
      <w:r>
        <w:t xml:space="preserve">Glucosa sanguínea en ayunas elevada</w:t>
      </w:r>
    </w:p>
    <w:p>
      <w:pPr>
        <w:pStyle w:val="Heading4"/>
      </w:pPr>
      <w:bookmarkStart w:id="33" w:name="hipertensión-arterial"/>
      <w:bookmarkEnd w:id="33"/>
      <w:r>
        <w:t xml:space="preserve">Hipertensión arterial</w:t>
      </w:r>
    </w:p>
    <w:p>
      <w:pPr>
        <w:pStyle w:val="Heading4"/>
      </w:pPr>
      <w:bookmarkStart w:id="34" w:name="niveles-elevados-de-triglicéridos"/>
      <w:bookmarkEnd w:id="34"/>
      <w:r>
        <w:t xml:space="preserve">Niveles elevados de triglicéridos</w:t>
      </w:r>
    </w:p>
    <w:p>
      <w:pPr>
        <w:pStyle w:val="Heading3"/>
      </w:pPr>
      <w:bookmarkStart w:id="35" w:name="patologías-relacionadas"/>
      <w:bookmarkEnd w:id="35"/>
      <w:r>
        <w:t xml:space="preserve">Patologías relacionadas</w:t>
      </w:r>
    </w:p>
    <w:p>
      <w:pPr>
        <w:pStyle w:val="FirstParagraph"/>
      </w:pPr>
      <w:r>
        <w:t xml:space="preserve">Relación entre el SM y:</w:t>
      </w:r>
    </w:p>
    <w:p>
      <w:pPr>
        <w:pStyle w:val="Compact"/>
        <w:numPr>
          <w:numId w:val="1007"/>
          <w:ilvl w:val="0"/>
        </w:numPr>
      </w:pPr>
      <w:r>
        <w:t xml:space="preserve">el cáncer colorrectal</w:t>
      </w:r>
    </w:p>
    <w:p>
      <w:pPr>
        <w:pStyle w:val="Compact"/>
        <w:numPr>
          <w:numId w:val="1007"/>
          <w:ilvl w:val="0"/>
        </w:numPr>
      </w:pPr>
      <w:r>
        <w:t xml:space="preserve">cáncer de mama</w:t>
      </w:r>
    </w:p>
    <w:p>
      <w:pPr>
        <w:pStyle w:val="Compact"/>
        <w:numPr>
          <w:numId w:val="1007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08"/>
          <w:ilvl w:val="0"/>
        </w:numPr>
      </w:pPr>
      <w:r>
        <w:t xml:space="preserve">la esteatosis hepática,</w:t>
      </w:r>
    </w:p>
    <w:p>
      <w:pPr>
        <w:pStyle w:val="Compact"/>
        <w:numPr>
          <w:numId w:val="1008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08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08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08"/>
          <w:ilvl w:val="0"/>
        </w:numPr>
      </w:pPr>
      <w:r>
        <w:t xml:space="preserve">la infertilidad masculina</w:t>
      </w:r>
    </w:p>
    <w:p>
      <w:pPr>
        <w:pStyle w:val="Heading2"/>
      </w:pPr>
      <w:bookmarkStart w:id="36" w:name="iii.2.2-por-grupos-de-población"/>
      <w:bookmarkEnd w:id="36"/>
      <w:r>
        <w:t xml:space="preserve">III.2.2 Por grupos de población</w:t>
      </w:r>
    </w:p>
    <w:p>
      <w:pPr>
        <w:pStyle w:val="Heading3"/>
      </w:pPr>
      <w:bookmarkStart w:id="37" w:name="sm-en-el-hombre"/>
      <w:bookmarkEnd w:id="37"/>
      <w:r>
        <w:t xml:space="preserve">3.2.2.1 SM en el hombre</w:t>
      </w:r>
    </w:p>
    <w:p>
      <w:pPr>
        <w:pStyle w:val="Heading3"/>
      </w:pPr>
      <w:bookmarkStart w:id="38" w:name="sm-en-la-mujer"/>
      <w:bookmarkEnd w:id="38"/>
      <w:r>
        <w:t xml:space="preserve">3.2.2.2 SM en la mujer</w:t>
      </w:r>
    </w:p>
    <w:p>
      <w:pPr>
        <w:pStyle w:val="Heading4"/>
      </w:pPr>
      <w:bookmarkStart w:id="39" w:name="embarazo"/>
      <w:bookmarkEnd w:id="39"/>
      <w:r>
        <w:t xml:space="preserve">Embarazo</w:t>
      </w:r>
    </w:p>
    <w:p>
      <w:pPr>
        <w:pStyle w:val="FirstParagraph"/>
      </w:pPr>
      <w:r>
        <w:t xml:space="preserve">El embarazo es un síndrome metabólico transitorio que predispone a</w:t>
      </w:r>
      <w:r>
        <w:t xml:space="preserve"> </w:t>
      </w:r>
      <w:r>
        <w:t xml:space="preserve">disfunción epitelial. En el embarazo normal, hay un gasto cardíaco</w:t>
      </w:r>
      <w:r>
        <w:t xml:space="preserve"> </w:t>
      </w:r>
      <w:r>
        <w:t xml:space="preserve">aumentado, tendencia a la hipercoagulabilidad, aumento de marcadores de</w:t>
      </w:r>
      <w:r>
        <w:t xml:space="preserve"> </w:t>
      </w:r>
      <w:r>
        <w:t xml:space="preserve">inflamación y, después de la semana 20, resistencia a la insulina y</w:t>
      </w:r>
      <w:r>
        <w:t xml:space="preserve"> </w:t>
      </w:r>
      <w:r>
        <w:t xml:space="preserve">dislipemia.</w:t>
      </w:r>
    </w:p>
    <w:p>
      <w:pPr>
        <w:pStyle w:val="BodyText"/>
      </w:pPr>
      <w:r>
        <w:t xml:space="preserve">Es una causa frecuente de ganancia de peso en la mujer.</w:t>
      </w:r>
    </w:p>
    <w:p>
      <w:pPr>
        <w:pStyle w:val="Block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</w:t>
      </w:r>
      <w:r>
        <w:t xml:space="preserve"> </w:t>
      </w:r>
      <w:r>
        <w:t xml:space="preserve">potencialmente tienen un riesgo incrementado de condiciones</w:t>
      </w:r>
      <w:r>
        <w:t xml:space="preserve"> </w:t>
      </w:r>
      <w:r>
        <w:t xml:space="preserve">metabólicas y cardiovasculares a lo largo de su vida.</w:t>
      </w:r>
    </w:p>
    <w:p>
      <w:pPr>
        <w:pStyle w:val="Block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 Si este</w:t>
      </w:r>
      <w:r>
        <w:t xml:space="preserve"> </w:t>
      </w:r>
      <w:r>
        <w:t xml:space="preserve">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lockText"/>
      </w:pPr>
      <w:r>
        <w:t xml:space="preserve">La presencia de SM antes del inicio del embarazo es un factor de</w:t>
      </w:r>
      <w:r>
        <w:t xml:space="preserve"> </w:t>
      </w:r>
      <w:r>
        <w:t xml:space="preserve">riesgo importante para trastornos hipertensivos del embarazo. Se ha</w:t>
      </w:r>
      <w:r>
        <w:t xml:space="preserve"> </w:t>
      </w:r>
      <w:r>
        <w:t xml:space="preserve">correlacionado con la hipertensión de la gestación en un 11 % y con la</w:t>
      </w:r>
      <w:r>
        <w:t xml:space="preserve"> </w:t>
      </w:r>
      <w:r>
        <w:t xml:space="preserve">preeclampsia en un 5 % (1). Igualmente el antecedente de trastornos</w:t>
      </w:r>
      <w:r>
        <w:t xml:space="preserve"> </w:t>
      </w:r>
      <w:r>
        <w:t xml:space="preserve">hipertensivos en el primer embarazo incrementa el riesgo de</w:t>
      </w:r>
      <w:r>
        <w:t xml:space="preserve"> </w:t>
      </w:r>
      <w:r>
        <w:t xml:space="preserve">desarrollar posteriormente SM de 3 a 5 veces</w:t>
      </w:r>
    </w:p>
    <w:p>
      <w:pPr>
        <w:pStyle w:val="BlockText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al contrario de lo que ocurre con los efectos</w:t>
      </w:r>
      <w:r>
        <w:t xml:space="preserve"> </w:t>
      </w:r>
      <w:r>
        <w:t xml:space="preserve">de una predisposición a las enfermedades cardiovasculares y la</w:t>
      </w:r>
      <w:r>
        <w:t xml:space="preserve"> </w:t>
      </w:r>
      <w:r>
        <w:t xml:space="preserve">diabetes tipo 2. Sin embargo tanto la diabetes de la DG como los</w:t>
      </w:r>
      <w:r>
        <w:t xml:space="preserve"> </w:t>
      </w:r>
      <w:r>
        <w:t xml:space="preserve">trastornos hipertensivos del embarazo (THE) pueden verse como</w:t>
      </w:r>
      <w:r>
        <w:t xml:space="preserve"> </w:t>
      </w:r>
      <w:r>
        <w:t xml:space="preserve">expresiones del síndrome durante la gestación (4).</w:t>
      </w:r>
    </w:p>
    <w:p>
      <w:pPr>
        <w:pStyle w:val="FirstParagraph"/>
      </w:pPr>
      <w:r>
        <w:t xml:space="preserve">Si la diabetes gestacional está asociada con obesidad, se incrementa el</w:t>
      </w:r>
      <w:r>
        <w:t xml:space="preserve"> </w:t>
      </w:r>
      <w:r>
        <w:t xml:space="preserve">riesgo de síndrome metabólico de 4 a 10 veces.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lockText"/>
      </w:pPr>
      <w:r>
        <w:t xml:space="preserve">Existen diversos factores de riesgo predisponentes relacionados con el</w:t>
      </w:r>
      <w:r>
        <w:t xml:space="preserve"> </w:t>
      </w:r>
      <w:r>
        <w:t xml:space="preserve">SM, entre los cuales están: obesidad, sedentarismo, dieta rica en</w:t>
      </w:r>
      <w:r>
        <w:t xml:space="preserve"> </w:t>
      </w:r>
      <w:r>
        <w:t xml:space="preserve">grasa. Los de mayor riesgo son los siguientes: hipertensión, hábito</w:t>
      </w:r>
      <w:r>
        <w:t xml:space="preserve"> </w:t>
      </w:r>
      <w:r>
        <w:t xml:space="preserve">tabáquico, concentraciones elevadas de lipoproteínas de baja densidad</w:t>
      </w:r>
      <w:r>
        <w:t xml:space="preserve"> </w:t>
      </w:r>
      <w:r>
        <w:t xml:space="preserve">(LDL) y bajas de lipoproteínas de alta densidad (HDL), antecedentes</w:t>
      </w:r>
      <w:r>
        <w:t xml:space="preserve"> </w:t>
      </w:r>
      <w:r>
        <w:t xml:space="preserve">familiares de enfermedad cardiovascular temprana y la edad.</w:t>
      </w:r>
    </w:p>
    <w:p>
      <w:pPr>
        <w:pStyle w:val="FirstParagraph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Heading4"/>
      </w:pPr>
      <w:bookmarkStart w:id="40" w:name="complicaciones-materno-fetales"/>
      <w:bookmarkEnd w:id="40"/>
      <w:r>
        <w:t xml:space="preserve">Complicaciones materno-fetales</w:t>
      </w:r>
    </w:p>
    <w:p>
      <w:pPr>
        <w:pStyle w:val="FirstParagraph"/>
      </w:pPr>
      <w:r>
        <w:t xml:space="preserve">para el feto, como pueden ser muerte prematura, macrosomía, hipoglicemia</w:t>
      </w:r>
      <w:r>
        <w:t xml:space="preserve"> </w:t>
      </w:r>
      <w:r>
        <w:t xml:space="preserve">y trauma neonatal. Los fetos macrosómicos y recién nacidos de madres</w:t>
      </w:r>
      <w:r>
        <w:t xml:space="preserve"> </w:t>
      </w:r>
      <w:r>
        <w:t xml:space="preserve">obesas tienen mayor riesgo de presentar SM a largo plazo, sumado a</w:t>
      </w:r>
      <w:r>
        <w:t xml:space="preserve"> </w:t>
      </w:r>
      <w:r>
        <w:t xml:space="preserve">cualquier predisposición hereditaria. Una alta concentración de</w:t>
      </w:r>
      <w:r>
        <w:t xml:space="preserve"> </w:t>
      </w:r>
      <w:r>
        <w:t xml:space="preserve">triglicéridos en la madre también puede provocar macrosomía. Por otro</w:t>
      </w:r>
      <w:r>
        <w:t xml:space="preserve"> </w:t>
      </w:r>
      <w:r>
        <w:t xml:space="preserve">lado el bajo peso al nacer va asociado a embarazos de mujeres con edades</w:t>
      </w:r>
      <w:r>
        <w:t xml:space="preserve"> </w:t>
      </w:r>
      <w:r>
        <w:t xml:space="preserve">avanzadas.</w:t>
      </w:r>
    </w:p>
    <w:p>
      <w:pPr>
        <w:pStyle w:val="BodyText"/>
      </w:pPr>
      <w:r>
        <w:t xml:space="preserve">El desarrollo y la progresión de la enfermedad cardiovascular se</w:t>
      </w:r>
      <w:r>
        <w:t xml:space="preserve"> </w:t>
      </w:r>
      <w:r>
        <w:t xml:space="preserve">relacionan con el número e intensidad de factores de riesgo que</w:t>
      </w:r>
      <w:r>
        <w:t xml:space="preserve"> </w:t>
      </w:r>
      <w:r>
        <w:t xml:space="preserve">iniciaron en la infancia, y también durante el desarrollo intrauterino.</w:t>
      </w:r>
    </w:p>
    <w:p>
      <w:pPr>
        <w:pStyle w:val="BodyText"/>
      </w:pPr>
      <w:r>
        <w:t xml:space="preserve">Las complicaciones neonatales en las gestantes con SM son mayores de las</w:t>
      </w:r>
      <w:r>
        <w:t xml:space="preserve"> </w:t>
      </w:r>
      <w:r>
        <w:t xml:space="preserve">que no lo presentan. Y los hijos de mujeres con diabetes tipo 1 tienen</w:t>
      </w:r>
      <w:r>
        <w:t xml:space="preserve"> </w:t>
      </w:r>
      <w:r>
        <w:t xml:space="preserve">predisposición al desarrollo de enfermedades cardiovasculares durante la</w:t>
      </w:r>
      <w:r>
        <w:t xml:space="preserve"> </w:t>
      </w:r>
      <w:r>
        <w:t xml:space="preserve">infancia.</w:t>
      </w:r>
    </w:p>
    <w:p>
      <w:pPr>
        <w:pStyle w:val="BodyText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feto,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Tanto la DG como la diabetes tipo 2 se relacionan con varias</w:t>
      </w:r>
      <w:r>
        <w:t xml:space="preserve"> </w:t>
      </w:r>
      <w:r>
        <w:t xml:space="preserve">consecuencias negativas</w:t>
      </w:r>
    </w:p>
    <w:p>
      <w:pPr>
        <w:pStyle w:val="Heading3"/>
      </w:pPr>
      <w:bookmarkStart w:id="41" w:name="sm-en-la-infancia"/>
      <w:bookmarkEnd w:id="41"/>
      <w:r>
        <w:t xml:space="preserve">3.2.2.3 SM en la infancia</w:t>
      </w:r>
    </w:p>
    <w:p>
      <w:pPr>
        <w:pStyle w:val="FirstParagraph"/>
      </w:pPr>
      <w:r>
        <w:t xml:space="preserve">En los últimos 50 años la obesidad y el SM se han convertido en un</w:t>
      </w:r>
      <w:r>
        <w:t xml:space="preserve"> </w:t>
      </w:r>
      <w:r>
        <w:t xml:space="preserve">problema global. Esto antes era considerado como enfermedades del</w:t>
      </w:r>
      <w:r>
        <w:t xml:space="preserve"> </w:t>
      </w:r>
      <w:r>
        <w:t xml:space="preserve">adulto, ahora ha ido aumentando de forma progresiva su incidencia en</w:t>
      </w:r>
      <w:r>
        <w:t xml:space="preserve"> </w:t>
      </w:r>
      <w:r>
        <w:t xml:space="preserve">niños y adolescentes. Que no solo se están volviendo más obesos sino que</w:t>
      </w:r>
      <w:r>
        <w:t xml:space="preserve"> </w:t>
      </w:r>
      <w:r>
        <w:t xml:space="preserve">lo están haciendo a edades más tempranas. Los mecanismos</w:t>
      </w:r>
      <w:r>
        <w:t xml:space="preserve"> </w:t>
      </w:r>
      <w:r>
        <w:t xml:space="preserve">fisiopatológicos descritos para la población adulta también pueden</w:t>
      </w:r>
      <w:r>
        <w:t xml:space="preserve"> </w:t>
      </w:r>
      <w:r>
        <w:t xml:space="preserve">explicar la aparición del SM en niños y adolescentes. Aunque nos</w:t>
      </w:r>
      <w:r>
        <w:t xml:space="preserve"> </w:t>
      </w:r>
      <w:r>
        <w:t xml:space="preserve">encontramos con la dificultad para medirlo de que no existe una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antropométicas cambian con la edad y el desarrollo en la</w:t>
      </w:r>
      <w:r>
        <w:t xml:space="preserve"> </w:t>
      </w:r>
      <w:r>
        <w:t xml:space="preserve">adolescencia. Además, no existe un criterio unificado para poder evaluar</w:t>
      </w:r>
      <w:r>
        <w:t xml:space="preserve"> </w:t>
      </w:r>
      <w:r>
        <w:t xml:space="preserve">el SM en niños, lo cual dificulta su diagnóstico.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propuso una</w:t>
      </w:r>
      <w:r>
        <w:t xml:space="preserve"> </w:t>
      </w:r>
      <w:r>
        <w:t xml:space="preserve">definición de síndrome metabólico para la infancia y adolescencia.</w:t>
      </w:r>
      <w:r>
        <w:t xml:space="preserve"> </w:t>
      </w:r>
      <w:r>
        <w:t xml:space="preserve">Basada en grupos de edad y que no permite hacer el diagnóstico antes de</w:t>
      </w:r>
      <w:r>
        <w:t xml:space="preserve"> </w:t>
      </w:r>
      <w:r>
        <w:t xml:space="preserve">los 10 años, requiere el diagnóstico de obesidad central y la presencia</w:t>
      </w:r>
      <w:r>
        <w:t xml:space="preserve"> </w:t>
      </w:r>
      <w:r>
        <w:t xml:space="preserve">de otros dos factores de riesgo para su diagnóstico (dislipemia,</w:t>
      </w:r>
      <w:r>
        <w:t xml:space="preserve"> </w:t>
      </w:r>
      <w:r>
        <w:t xml:space="preserve">hipertensión o alteración de la glucosa).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En el año 2007 la International Diabetes Federation propuso una</w:t>
      </w:r>
      <w:r>
        <w:t xml:space="preserve"> </w:t>
      </w:r>
      <w:r>
        <w:t xml:space="preserve">definición de síndrome metabólico para la infancia y adolescencia.</w:t>
      </w:r>
      <w:r>
        <w:t xml:space="preserve"> </w:t>
      </w:r>
      <w:r>
        <w:t xml:space="preserve">Basada en grupos de edad y que no permite hacer el diagnóstico antes de</w:t>
      </w:r>
      <w:r>
        <w:t xml:space="preserve"> </w:t>
      </w:r>
      <w:r>
        <w:t xml:space="preserve">los 10 años, requiere el diagnóstico de obesidad central y la presencia</w:t>
      </w:r>
      <w:r>
        <w:t xml:space="preserve"> </w:t>
      </w:r>
      <w:r>
        <w:t xml:space="preserve">de otros dos factores de riesgo para su diagnóstico (dislipemia,</w:t>
      </w:r>
      <w:r>
        <w:t xml:space="preserve"> </w:t>
      </w:r>
      <w:r>
        <w:t xml:space="preserve">hipertensión o alteración de la glucosa).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rPr>
          <w:b/>
        </w:rPr>
        <w:t xml:space="preserve">Insertar Tabla: Criterios de síndrome metabólico en la infancia y</w:t>
      </w:r>
      <w:r>
        <w:rPr>
          <w:b/>
        </w:rPr>
        <w:t xml:space="preserve"> </w:t>
      </w:r>
      <w:r>
        <w:rPr>
          <w:b/>
        </w:rPr>
        <w:t xml:space="preserve">adolescencia de la International Diabetes Federation</w:t>
      </w:r>
      <w:r>
        <w:t xml:space="preserve"> </w:t>
      </w:r>
      <w:hyperlink r:id="rId42">
        <w:r>
          <w:rPr>
            <w:rStyle w:val="Hyperlink"/>
          </w:rPr>
          <w:t xml:space="preserve">tabla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Por ejemplo, se ha encontrado que a mayor peso al nacer, mayor</w:t>
      </w:r>
      <w:r>
        <w:t xml:space="preserve"> </w:t>
      </w:r>
      <w:r>
        <w:t xml:space="preserve">probabilidad de desarrollar sobrepeso u obesidad y mayores niveles de</w:t>
      </w:r>
      <w:r>
        <w:t xml:space="preserve"> </w:t>
      </w:r>
      <w:r>
        <w:t xml:space="preserve">presión arterial sistólica durante su niñez.</w:t>
      </w:r>
    </w:p>
    <w:p>
      <w:pPr>
        <w:pStyle w:val="BodyText"/>
      </w:pPr>
      <w:r>
        <w:t xml:space="preserve">Se ha encontrado también relación entre el bajo peso al nacer y el</w:t>
      </w:r>
      <w:r>
        <w:t xml:space="preserve"> </w:t>
      </w:r>
      <w:r>
        <w:t xml:space="preserve">riesgo cardiometabólico, morbilidad y mortalidad cardiovascular. Y que</w:t>
      </w:r>
      <w:r>
        <w:t xml:space="preserve"> </w:t>
      </w:r>
      <w:r>
        <w:t xml:space="preserve">el alto peso al nacer está relacionado con el desarrollo de otros</w:t>
      </w:r>
      <w:r>
        <w:t xml:space="preserve"> </w:t>
      </w:r>
      <w:r>
        <w:t xml:space="preserve">factores de riesgo cardiometabólicos como sobrepeso e hipertensión.</w:t>
      </w:r>
    </w:p>
    <w:p>
      <w:pPr>
        <w:pStyle w:val="BodyText"/>
      </w:pPr>
      <w:r>
        <w:t xml:space="preserve">Es importante identificar, de manera temprana, gestaciones en riesgo de</w:t>
      </w:r>
      <w:r>
        <w:t xml:space="preserve"> </w:t>
      </w:r>
      <w:r>
        <w:t xml:space="preserve">exceso de peso al nacer y el manejo de los factores que contribuyen al</w:t>
      </w:r>
      <w:r>
        <w:t xml:space="preserve"> </w:t>
      </w:r>
      <w:r>
        <w:t xml:space="preserve">mismo, con el fin de prevenir el posterior desarrollo de obesidad y</w:t>
      </w:r>
      <w:r>
        <w:t xml:space="preserve"> </w:t>
      </w:r>
      <w:r>
        <w:t xml:space="preserve">riesgo cardiovascular en estos niños.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Heading3"/>
      </w:pPr>
      <w:bookmarkStart w:id="43" w:name="sm-en-la-tercera-edad"/>
      <w:bookmarkEnd w:id="43"/>
      <w:r>
        <w:t xml:space="preserve">3.2.2.4 SM en la tercera edad</w:t>
      </w:r>
    </w:p>
    <w:p>
      <w:pPr>
        <w:pStyle w:val="FirstParagraph"/>
      </w:pPr>
      <w:r>
        <w:t xml:space="preserve">El proceso de envejecimiento se asocia principalmente con cifras</w:t>
      </w:r>
      <w:r>
        <w:t xml:space="preserve"> </w:t>
      </w:r>
      <w:r>
        <w:t xml:space="preserve">alteradas en la glucemia, motivado por la disminución de la acción de la</w:t>
      </w:r>
      <w:r>
        <w:t xml:space="preserve"> </w:t>
      </w:r>
      <w:r>
        <w:t xml:space="preserve">insulina.</w:t>
      </w:r>
    </w:p>
    <w:p>
      <w:pPr>
        <w:pStyle w:val="BodyText"/>
      </w:pPr>
      <w:r>
        <w:t xml:space="preserve">La relación entre la resistencia a la insulina y la edad ha sido</w:t>
      </w:r>
      <w:r>
        <w:t xml:space="preserve"> </w:t>
      </w:r>
      <w:r>
        <w:t xml:space="preserve">explicada por cuatro principales vías:</w:t>
      </w:r>
    </w:p>
    <w:p>
      <w:pPr>
        <w:pStyle w:val="Compact"/>
        <w:numPr>
          <w:numId w:val="1009"/>
          <w:ilvl w:val="0"/>
        </w:numPr>
      </w:pPr>
      <w:r>
        <w:t xml:space="preserve">Cambios antropométricos (aumento de masa grasa con disminución de</w:t>
      </w:r>
      <w:r>
        <w:t xml:space="preserve"> </w:t>
      </w:r>
      <w:r>
        <w:t xml:space="preserve">masa muscular).</w:t>
      </w:r>
    </w:p>
    <w:p>
      <w:pPr>
        <w:pStyle w:val="Compact"/>
        <w:numPr>
          <w:numId w:val="1009"/>
          <w:ilvl w:val="0"/>
        </w:numPr>
      </w:pPr>
      <w:r>
        <w:t xml:space="preserve">Cambios ambientales (hábitos dietéticos y disminución de actividad</w:t>
      </w:r>
      <w:r>
        <w:t xml:space="preserve"> </w:t>
      </w:r>
      <w:r>
        <w:t xml:space="preserve">física).</w:t>
      </w:r>
    </w:p>
    <w:p>
      <w:pPr>
        <w:pStyle w:val="Compact"/>
        <w:numPr>
          <w:numId w:val="1009"/>
          <w:ilvl w:val="0"/>
        </w:numPr>
      </w:pPr>
      <w:r>
        <w:t xml:space="preserve">Variaciones neurohormonales que pueden tener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09"/>
          <w:ilvl w:val="0"/>
        </w:numPr>
      </w:pPr>
      <w:r>
        <w:t xml:space="preserve">Aumento del estrés oxidativo.</w:t>
      </w:r>
    </w:p>
    <w:p>
      <w:pPr>
        <w:pStyle w:val="FirstParagraph"/>
      </w:pPr>
      <w:r>
        <w:t xml:space="preserve">A su vez, la diabetes tipo 2 se asoció con el mayor riesgo de padecer</w:t>
      </w:r>
      <w:r>
        <w:t xml:space="preserve"> </w:t>
      </w:r>
      <w:r>
        <w:t xml:space="preserve">sarcopenia; por lo que estas características pueden contribuir a la</w:t>
      </w:r>
      <w:r>
        <w:t xml:space="preserve"> </w:t>
      </w:r>
      <w:r>
        <w:t xml:space="preserve">discapacidad física y a los trastornos metabólicos en adultos mayores</w:t>
      </w:r>
      <w:r>
        <w:t xml:space="preserve"> </w:t>
      </w:r>
      <w:r>
        <w:t xml:space="preserve">con diabetes.</w:t>
      </w:r>
    </w:p>
    <w:p>
      <w:pPr>
        <w:pStyle w:val="Heading2"/>
      </w:pPr>
      <w:bookmarkStart w:id="44" w:name="tratamiento-y-prevención"/>
      <w:bookmarkEnd w:id="44"/>
      <w:r>
        <w:t xml:space="preserve">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Heading3"/>
      </w:pPr>
      <w:bookmarkStart w:id="45" w:name="relación-con-la-alimentación"/>
      <w:bookmarkEnd w:id="45"/>
      <w:r>
        <w:t xml:space="preserve">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46" w:name="hábitos-de-vida"/>
      <w:bookmarkEnd w:id="46"/>
      <w:r>
        <w:t xml:space="preserve">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sedentarismo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FirstParagraph"/>
      </w:pPr>
    </w:p>
    <w:p>
      <w:pPr>
        <w:pStyle w:val="Heading1"/>
      </w:pPr>
      <w:bookmarkStart w:id="47" w:name="material-y-métodos"/>
      <w:bookmarkEnd w:id="47"/>
      <w:r>
        <w:t xml:space="preserve">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48" w:name="resultados"/>
      <w:bookmarkEnd w:id="48"/>
      <w:r>
        <w:t xml:space="preserve">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Heading1"/>
      </w:pPr>
      <w:bookmarkStart w:id="49" w:name="discusión"/>
      <w:bookmarkEnd w:id="49"/>
      <w:r>
        <w:t xml:space="preserve">Discusión</w:t>
      </w:r>
    </w:p>
    <w:p>
      <w:pPr>
        <w:pStyle w:val="FirstParagraph"/>
      </w:pPr>
    </w:p>
    <w:p>
      <w:pPr>
        <w:pStyle w:val="Heading1"/>
      </w:pPr>
      <w:bookmarkStart w:id="50" w:name="conclusión"/>
      <w:bookmarkEnd w:id="50"/>
      <w:r>
        <w:t xml:space="preserve">Conclusión</w:t>
      </w:r>
    </w:p>
    <w:p>
      <w:pPr>
        <w:pStyle w:val="FirstParagraph"/>
      </w:pPr>
    </w:p>
    <w:p>
      <w:pPr>
        <w:pStyle w:val="Heading1"/>
      </w:pPr>
      <w:bookmarkStart w:id="51" w:name="bibliografía"/>
      <w:bookmarkEnd w:id="51"/>
      <w:r>
        <w:t xml:space="preserve">Bibliografía</w:t>
      </w:r>
    </w:p>
    <w:p>
      <w:pPr>
        <w:pStyle w:val="Compact"/>
        <w:numPr>
          <w:numId w:val="1013"/>
          <w:ilvl w:val="0"/>
        </w:numPr>
      </w:pPr>
      <w:hyperlink r:id="rId52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13"/>
          <w:ilvl w:val="0"/>
        </w:numPr>
      </w:pPr>
      <w:hyperlink r:id="rId53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13"/>
          <w:ilvl w:val="0"/>
        </w:numPr>
      </w:pPr>
      <w:hyperlink r:id="rId54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13"/>
          <w:ilvl w:val="0"/>
        </w:numPr>
      </w:pPr>
      <w:hyperlink r:id="rId55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13"/>
          <w:ilvl w:val="0"/>
        </w:numPr>
      </w:pPr>
      <w:hyperlink r:id="rId56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13"/>
          <w:ilvl w:val="0"/>
        </w:numPr>
      </w:pPr>
      <w:hyperlink r:id="rId57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13"/>
          <w:ilvl w:val="0"/>
        </w:numPr>
      </w:pPr>
      <w:hyperlink r:id="rId58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13"/>
          <w:ilvl w:val="0"/>
        </w:numPr>
      </w:pPr>
      <w:hyperlink r:id="rId59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4"/>
          <w:ilvl w:val="0"/>
        </w:numPr>
      </w:pPr>
      <w:hyperlink r:id="rId60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14"/>
          <w:ilvl w:val="0"/>
        </w:numPr>
      </w:pPr>
      <w:hyperlink r:id="rId61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14"/>
          <w:ilvl w:val="0"/>
        </w:numPr>
      </w:pPr>
      <w:hyperlink r:id="rId62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14"/>
          <w:ilvl w:val="0"/>
        </w:numPr>
      </w:pPr>
      <w:hyperlink r:id="rId63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14"/>
          <w:ilvl w:val="0"/>
        </w:numPr>
      </w:pPr>
      <w:hyperlink r:id="rId64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14"/>
          <w:ilvl w:val="0"/>
        </w:numPr>
      </w:pPr>
      <w:hyperlink r:id="rId65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14"/>
          <w:ilvl w:val="0"/>
        </w:numPr>
      </w:pPr>
      <w:hyperlink r:id="rId66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14"/>
          <w:ilvl w:val="0"/>
        </w:numPr>
      </w:pPr>
      <w:hyperlink r:id="rId67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14"/>
          <w:ilvl w:val="0"/>
        </w:numPr>
      </w:pPr>
      <w:hyperlink r:id="rId68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14"/>
          <w:ilvl w:val="0"/>
        </w:numPr>
      </w:pPr>
      <w:hyperlink r:id="rId69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14"/>
          <w:ilvl w:val="0"/>
        </w:numPr>
      </w:pPr>
      <w:hyperlink r:id="rId70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14"/>
          <w:ilvl w:val="0"/>
        </w:numPr>
      </w:pPr>
      <w:hyperlink r:id="rId71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14"/>
          <w:ilvl w:val="0"/>
        </w:numPr>
      </w:pPr>
      <w:hyperlink r:id="rId72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14"/>
          <w:ilvl w:val="0"/>
        </w:numPr>
      </w:pPr>
      <w:hyperlink r:id="rId73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14"/>
          <w:ilvl w:val="0"/>
        </w:numPr>
      </w:pPr>
      <w:hyperlink r:id="rId74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1"/>
      </w:pPr>
      <w:bookmarkStart w:id="75" w:name="anexos"/>
      <w:bookmarkEnd w:id="75"/>
      <w:r>
        <w:t xml:space="preserve">Anexos</w:t>
      </w:r>
    </w:p>
    <w:p>
      <w:pPr>
        <w:pStyle w:val="Heading2"/>
      </w:pPr>
      <w:bookmarkStart w:id="76" w:name="vocabulario"/>
      <w:bookmarkEnd w:id="76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77" w:name="abreviaturas"/>
      <w:bookmarkEnd w:id="77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Heading1"/>
      </w:pPr>
      <w:bookmarkStart w:id="78" w:name="tablas"/>
      <w:bookmarkEnd w:id="78"/>
      <w:r>
        <w:t xml:space="preserve">Tablas</w:t>
      </w:r>
    </w:p>
    <w:p>
      <w:pPr>
        <w:pStyle w:val="Heading5"/>
      </w:pPr>
      <w:bookmarkStart w:id="79" w:name="tabla-1"/>
      <w:bookmarkEnd w:id="79"/>
      <w:r>
        <w:t xml:space="preserve">tabla 1</w:t>
      </w:r>
    </w:p>
    <w:p>
      <w:pPr>
        <w:pStyle w:val="FirstParagraph"/>
      </w:pPr>
      <w:r>
        <w:rPr>
          <w:b/>
        </w:rPr>
        <w:t xml:space="preserve">Evolución histórica de los criterios del síndrome metabólico</w:t>
      </w:r>
    </w:p>
    <w:tbl>
      <w:tblPr>
        <w:tblStyle w:val="TableNormal"/>
        <w:tblW w:type="pct" w:w="4943.820224719101"/>
        <w:tblLook w:firstRow="1"/>
      </w:tblPr>
      <w:tblGrid>
        <w:gridCol w:w="1913"/>
        <w:gridCol w:w="2091"/>
        <w:gridCol w:w="1913"/>
        <w:gridCol w:w="19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</w:t>
            </w:r>
            <w:r>
              <w:t xml:space="preserve"> </w:t>
            </w:r>
            <w:r>
              <w:t xml:space="preserve">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</w:t>
            </w:r>
            <w:r>
              <w:t xml:space="preserve"> </w:t>
            </w:r>
            <w:r>
              <w:t xml:space="preserve">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</w:t>
            </w:r>
            <w:r>
              <w:t xml:space="preserve"> </w:t>
            </w:r>
            <w:r>
              <w:t xml:space="preserve">asociación con hipertensión y enfermedad</w:t>
            </w:r>
            <w:r>
              <w:t xml:space="preserve"> </w:t>
            </w:r>
            <w:r>
              <w:t xml:space="preserve">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</w:t>
            </w:r>
            <w:r>
              <w:t xml:space="preserve"> </w:t>
            </w:r>
            <w:r>
              <w:t xml:space="preserve">nutrición y los cambios en el estilo de</w:t>
            </w:r>
            <w:r>
              <w:t xml:space="preserve"> </w:t>
            </w:r>
            <w:r>
              <w:t xml:space="preserve">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</w:t>
            </w:r>
            <w:r>
              <w:t xml:space="preserve"> </w:t>
            </w:r>
            <w:r>
              <w:t xml:space="preserve">obesidad, hipertensión, hiperlipidemia y</w:t>
            </w:r>
            <w:r>
              <w:t xml:space="preserve"> </w:t>
            </w:r>
            <w:r>
              <w:t xml:space="preserve">trombofilia, sobre una base genética y de</w:t>
            </w:r>
            <w:r>
              <w:t xml:space="preserve"> </w:t>
            </w:r>
            <w:r>
              <w:t xml:space="preserve">influencias medioambientales:</w:t>
            </w:r>
            <w:r>
              <w:t xml:space="preserve"> </w:t>
            </w:r>
            <w:r>
              <w:t xml:space="preserve">sobrealimentación, sedentarismo,</w:t>
            </w:r>
            <w:r>
              <w:t xml:space="preserve"> </w:t>
            </w:r>
            <w:r>
              <w:t xml:space="preserve">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</w:t>
            </w:r>
            <w:r>
              <w:t xml:space="preserve"> </w:t>
            </w:r>
            <w:r>
              <w:t xml:space="preserve">diabetes: hipertensión arterial esencial,</w:t>
            </w:r>
            <w:r>
              <w:t xml:space="preserve"> </w:t>
            </w:r>
            <w:r>
              <w:t xml:space="preserve">resistencia a insulina, hiperglucemia,</w:t>
            </w:r>
            <w:r>
              <w:t xml:space="preserve"> </w:t>
            </w:r>
            <w:r>
              <w:t xml:space="preserve">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</w:t>
            </w:r>
            <w:r>
              <w:t xml:space="preserve"> </w:t>
            </w:r>
            <w:r>
              <w:t xml:space="preserve">glucosa, hipertrigliceridemia e</w:t>
            </w:r>
            <w:r>
              <w:t xml:space="preserve"> </w:t>
            </w:r>
            <w:r>
              <w:t xml:space="preserve">hipertensión; importancia en el desarrollo</w:t>
            </w:r>
            <w:r>
              <w:t xml:space="preserve"> </w:t>
            </w:r>
            <w:r>
              <w:t xml:space="preserve">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</w:t>
            </w:r>
            <w:r>
              <w:t xml:space="preserve"> </w:t>
            </w:r>
            <w:r>
              <w:t xml:space="preserve">ser &gt;= 0,9 en hombres y &gt;= 0,85 en</w:t>
            </w:r>
            <w:r>
              <w:t xml:space="preserve"> </w:t>
            </w:r>
            <w:r>
              <w:t xml:space="preserve">mujeres o un IMC &gt;=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</w:t>
            </w:r>
            <w:r>
              <w:t xml:space="preserve"> </w:t>
            </w:r>
            <w:r>
              <w:t xml:space="preserve">de las lipoproteínas de baja densidad</w:t>
            </w:r>
            <w:r>
              <w:t xml:space="preserve"> </w:t>
            </w:r>
            <w:r>
              <w:t xml:space="preserve">(LDL) (c-LDL)alto, con obesidad</w:t>
            </w:r>
            <w:r>
              <w:t xml:space="preserve"> </w:t>
            </w:r>
            <w:r>
              <w:t xml:space="preserve">central:&gt;=102cm hombre, &gt;=88cm</w:t>
            </w:r>
            <w:r>
              <w:t xml:space="preserve"> </w:t>
            </w:r>
            <w:r>
              <w:t xml:space="preserve">mujer, con triglicéridos altos, con</w:t>
            </w:r>
            <w:r>
              <w:t xml:space="preserve"> </w:t>
            </w:r>
            <w:r>
              <w:t xml:space="preserve">colesterol HDL (c-HDL) bajo, hipertensión</w:t>
            </w:r>
            <w:r>
              <w:t xml:space="preserve"> </w:t>
            </w:r>
            <w:r>
              <w:t xml:space="preserve">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</w:t>
            </w:r>
            <w:r>
              <w:t xml:space="preserve"> </w:t>
            </w:r>
            <w:r>
              <w:t xml:space="preserve">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</w:t>
            </w:r>
            <w:r>
              <w:t xml:space="preserve"> </w:t>
            </w:r>
            <w:r>
              <w:t xml:space="preserve">insulina y las enfermedades</w:t>
            </w:r>
            <w:r>
              <w:t xml:space="preserve"> </w:t>
            </w:r>
            <w:r>
              <w:t xml:space="preserve">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</w:t>
            </w:r>
            <w:r>
              <w:t xml:space="preserve"> </w:t>
            </w:r>
            <w:r>
              <w:t xml:space="preserve">mínimas,que en 2001 eran &gt;= 135/85</w:t>
            </w:r>
            <w:r>
              <w:t xml:space="preserve"> </w:t>
            </w:r>
            <w:r>
              <w:t xml:space="preserve">mmHg, a 130/85 mmHg o cifras normales en</w:t>
            </w:r>
            <w:r>
              <w:t xml:space="preserve"> </w:t>
            </w:r>
            <w:r>
              <w:t xml:space="preserve">hipertensos con tratamiento establecido, y</w:t>
            </w:r>
            <w:r>
              <w:t xml:space="preserve"> </w:t>
            </w:r>
            <w:r>
              <w:t xml:space="preserve">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</w:t>
            </w:r>
            <w:r>
              <w:t xml:space="preserve"> </w:t>
            </w:r>
            <w:r>
              <w:t xml:space="preserve">imprescindible, además de dos, de los</w:t>
            </w:r>
            <w:r>
              <w:t xml:space="preserve"> </w:t>
            </w:r>
            <w:r>
              <w:t xml:space="preserve">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</w:t>
            </w:r>
            <w:r>
              <w:t xml:space="preserve"> </w:t>
            </w:r>
            <w:r>
              <w:t xml:space="preserve">on Epidemiology and Prevention National</w:t>
            </w:r>
            <w:r>
              <w:t xml:space="preserve"> </w:t>
            </w:r>
            <w:r>
              <w:t xml:space="preserve">Heart,Lung, and Blood Institute American Heart</w:t>
            </w:r>
            <w:r>
              <w:t xml:space="preserve"> </w:t>
            </w:r>
            <w:r>
              <w:t xml:space="preserve">Association World Heart Federation</w:t>
            </w:r>
            <w:r>
              <w:t xml:space="preserve"> </w:t>
            </w:r>
            <w:r>
              <w:t xml:space="preserve">International Atherosclerosis Society and</w:t>
            </w:r>
            <w:r>
              <w:t xml:space="preserve"> </w:t>
            </w:r>
            <w:r>
              <w:t xml:space="preserve">International Association for the Study of</w:t>
            </w:r>
            <w:r>
              <w:t xml:space="preserve"> </w:t>
            </w:r>
            <w:r>
              <w:t xml:space="preserve">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</w:t>
            </w:r>
            <w:r>
              <w:t xml:space="preserve"> </w:t>
            </w:r>
            <w:r>
              <w:t xml:space="preserve">de cintura deja de ser criterio</w:t>
            </w:r>
            <w:r>
              <w:t xml:space="preserve"> </w:t>
            </w:r>
            <w:r>
              <w:t xml:space="preserve">imprescindible</w:t>
            </w:r>
          </w:p>
        </w:tc>
      </w:tr>
    </w:tbl>
    <w:p>
      <w:pPr>
        <w:pStyle w:val="Heading5"/>
      </w:pPr>
      <w:bookmarkStart w:id="80" w:name="tabla-2"/>
      <w:bookmarkEnd w:id="80"/>
      <w:r>
        <w:t xml:space="preserve">tabla 2</w:t>
      </w:r>
    </w:p>
    <w:p>
      <w:pPr>
        <w:pStyle w:val="FirstParagraph"/>
      </w:pPr>
      <w:r>
        <w:rPr>
          <w:b/>
        </w:rPr>
        <w:t xml:space="preserve">Indice de Masa Corporal, Circunferencia Abdominal y Riesgo de</w:t>
      </w:r>
      <w:r>
        <w:rPr>
          <w:b/>
        </w:rPr>
        <w:t xml:space="preserve"> </w:t>
      </w:r>
      <w:r>
        <w:rPr>
          <w:b/>
        </w:rPr>
        <w:t xml:space="preserve">Enfermedad Cardiovascular</w:t>
      </w:r>
    </w:p>
    <w:tbl>
      <w:tblPr>
        <w:tblStyle w:val="TableNormal"/>
        <w:tblW w:type="pct" w:w="4863.013698630137"/>
        <w:tblLook w:firstRow="1"/>
      </w:tblPr>
      <w:tblGrid>
        <w:gridCol w:w="1844"/>
        <w:gridCol w:w="1952"/>
        <w:gridCol w:w="1952"/>
        <w:gridCol w:w="195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 1,3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</w:tr>
    </w:tbl>
    <w:p>
      <w:pPr>
        <w:pStyle w:val="Heading5"/>
      </w:pPr>
      <w:bookmarkStart w:id="81" w:name="tabla-3"/>
      <w:bookmarkEnd w:id="81"/>
      <w:r>
        <w:t xml:space="preserve">tabla 3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Criterios diagnósticos del Síndrome Metabólico (NCEP ATP III)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 &gt;102 cm Mujeres &gt; 88 cm**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Presión Arterial ( = 130 / 85)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 = 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HDL-Col Hombres &lt; 40 Mujeres &lt; 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Glucosa Sanguínea en ayunas = 110 mg/dL</w:t>
            </w:r>
          </w:p>
        </w:tc>
      </w:tr>
    </w:tbl>
    <w:p>
      <w:pPr>
        <w:pStyle w:val="Heading5"/>
      </w:pPr>
      <w:bookmarkStart w:id="82" w:name="tabla-4"/>
      <w:bookmarkEnd w:id="82"/>
      <w:r>
        <w:t xml:space="preserve">tabla 4</w:t>
      </w:r>
    </w:p>
    <w:p>
      <w:pPr>
        <w:pStyle w:val="FirstParagraph"/>
      </w:pPr>
      <w:r>
        <w:rPr>
          <w:b/>
        </w:rPr>
        <w:t xml:space="preserve">Diagnóstico de Síndrome Metabólico. Criterios de la IDF (International</w:t>
      </w:r>
      <w:r>
        <w:rPr>
          <w:b/>
        </w:rPr>
        <w:t xml:space="preserve"> </w:t>
      </w:r>
      <w:r>
        <w:rPr>
          <w:b/>
        </w:rPr>
        <w:t xml:space="preserve">Diabetes Federation (2006).</w:t>
      </w:r>
    </w:p>
    <w:tbl>
      <w:tblPr>
        <w:tblStyle w:val="TableNormal"/>
        <w:tblW w:type="pct" w:w="4994.3534726143425"/>
        <w:tblLook w:firstRow="1"/>
      </w:tblPr>
      <w:tblGrid>
        <w:gridCol w:w="7606"/>
        <w:gridCol w:w="30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Para diagnosticar SM la persona debe tener: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1. Obesidad Central definida por los valores de la circunferencia</w:t>
            </w:r>
            <w:r>
              <w:t xml:space="preserve"> </w:t>
            </w:r>
            <w:r>
              <w:t xml:space="preserve">abdominal de acuerdo a la especificidad étnica.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2. Dos de los cuatro factores que se indican a continuación.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Hipertrigliceridemia</w:t>
            </w:r>
          </w:p>
        </w:tc>
        <w:tc>
          <w:p>
            <w:pPr>
              <w:pStyle w:val="Compact"/>
              <w:jc w:val="left"/>
            </w:pPr>
            <w:r>
              <w:t xml:space="preserve">= 150 mg/dL (1.7 mmol/L) o en tratamiento para patología lipídica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Disminución de las cifras de Colesterol – HDL</w:t>
            </w:r>
          </w:p>
        </w:tc>
        <w:tc>
          <w:p>
            <w:pPr>
              <w:pStyle w:val="Compact"/>
              <w:jc w:val="left"/>
            </w:pPr>
            <w:r>
              <w:t xml:space="preserve">&lt; 40 mg/dL (1.03 mmol/L) en hombres &lt; 50 mg/dL (1.29 mmol/L)</w:t>
            </w:r>
            <w:r>
              <w:t xml:space="preserve"> </w:t>
            </w:r>
            <w:r>
              <w:t xml:space="preserve">en mujeres o estar en tratamiento por esta patología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Aumento de la 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Sistólica = 130 - Diastolica = 85 mm Hg En tratamiento por HTA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Hiperglucemia en ayunas</w:t>
            </w:r>
          </w:p>
        </w:tc>
        <w:tc>
          <w:p>
            <w:pPr>
              <w:pStyle w:val="Compact"/>
              <w:jc w:val="left"/>
            </w:pPr>
            <w:r>
              <w:t xml:space="preserve">Glicemia en ayunas = 100 mg/dL (5.6 mmol/L), Si el valor es mayor de</w:t>
            </w:r>
            <w:r>
              <w:t xml:space="preserve"> </w:t>
            </w:r>
            <w:r>
              <w:t xml:space="preserve">100 mg/dL se sugiere hacer CTG. Diagnóstico previo de DM tipo 2*</w:t>
            </w:r>
          </w:p>
        </w:tc>
      </w:tr>
    </w:tbl>
    <w:p>
      <w:pPr>
        <w:pStyle w:val="Heading5"/>
      </w:pPr>
      <w:bookmarkStart w:id="83" w:name="tabla-5"/>
      <w:bookmarkEnd w:id="83"/>
      <w:r>
        <w:t xml:space="preserve">tabla 5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Valores de circunferencia abdominal indicándose la 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 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 recomendaciones para Asiahasta tener nueva 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c10914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9f8eba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93e113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2" Target="/docs/documentacion/Obesidad_y_sindrome_metabolico.pdf" TargetMode="External" /><Relationship Type="http://schemas.openxmlformats.org/officeDocument/2006/relationships/hyperlink" Id="rId62" Target="http://dspace.utalca.cl/handle/1950/4714" TargetMode="External" /><Relationship Type="http://schemas.openxmlformats.org/officeDocument/2006/relationships/hyperlink" Id="rId56" Target="http://hdl.handle.net/2183/16548" TargetMode="External" /><Relationship Type="http://schemas.openxmlformats.org/officeDocument/2006/relationships/hyperlink" Id="rId58" Target="http://scielo.isciii.es/scielo.php?script=sci_arttext&amp;pid=S0212-16112017000500013&amp;lng=es&amp;nrm=iso" TargetMode="External" /><Relationship Type="http://schemas.openxmlformats.org/officeDocument/2006/relationships/hyperlink" Id="rId54" Target="http://scielo.isciii.es/scielo.php?script=sci_arttext&amp;pid=S1137-66272016000200009&amp;lng=es&amp;nrm=iso" TargetMode="External" /><Relationship Type="http://schemas.openxmlformats.org/officeDocument/2006/relationships/hyperlink" Id="rId52" Target="http://scielo.sld.cu/scielo.php?script=sci_arttext&amp;pid=S1561-29532006000300006" TargetMode="External" /><Relationship Type="http://schemas.openxmlformats.org/officeDocument/2006/relationships/hyperlink" Id="rId57" Target="http://ve.scielo.org/scielo.php?script=sci_arttext&amp;pid=S0048-77322011000200002&amp;lng=es&amp;nrm=iso" TargetMode="External" /><Relationship Type="http://schemas.openxmlformats.org/officeDocument/2006/relationships/hyperlink" Id="rId55" Target="http://ve.scielo.org/scielo.php?script=sci_arttext&amp;pid=S0798-07522007000200006" TargetMode="External" /><Relationship Type="http://schemas.openxmlformats.org/officeDocument/2006/relationships/hyperlink" Id="rId69" Target="http://www.scielo.org.pe/scielo.php?script=sci_arttext&amp;pid=S1025-55832020000100092&amp;lng=es" TargetMode="External" /><Relationship Type="http://schemas.openxmlformats.org/officeDocument/2006/relationships/hyperlink" Id="rId61" Target="https://doi.org/10.1373/clinchem.2005.048611" TargetMode="External" /><Relationship Type="http://schemas.openxmlformats.org/officeDocument/2006/relationships/hyperlink" Id="rId64" Target="https://isanidad.com/67663/la-falta-de-sueno-puede-disminuir-el-colesterol-bueno/" TargetMode="External" /><Relationship Type="http://schemas.openxmlformats.org/officeDocument/2006/relationships/hyperlink" Id="rId66" Target="https://middlesexhealth.org/learning-center/espanol/enfermedades-y-afecciones/s-ndrome-metab-lico" TargetMode="External" /><Relationship Type="http://schemas.openxmlformats.org/officeDocument/2006/relationships/hyperlink" Id="rId63" Target="https://ruc.udc.es/dspace/handle/2183/16548" TargetMode="External" /><Relationship Type="http://schemas.openxmlformats.org/officeDocument/2006/relationships/hyperlink" Id="rId70" Target="https://scielo.isciii.es/scielo.php?script=sci_arttext&amp;pid=S0212-16112017000500013" TargetMode="External" /><Relationship Type="http://schemas.openxmlformats.org/officeDocument/2006/relationships/hyperlink" Id="rId73" Target="https://scielo.isciii.es/scielo.php?script=sci_arttext&amp;pid=S0212-71992008000700003" TargetMode="External" /><Relationship Type="http://schemas.openxmlformats.org/officeDocument/2006/relationships/hyperlink" Id="rId65" Target="https://www.cun.es/enfermedades-tratamientos/enfermedades/sindrome-metabolico" TargetMode="External" /><Relationship Type="http://schemas.openxmlformats.org/officeDocument/2006/relationships/hyperlink" Id="rId72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0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4" Target="https://www.flasog.org/static/academica/Sindrome-Metabolico.pdf" TargetMode="External" /><Relationship Type="http://schemas.openxmlformats.org/officeDocument/2006/relationships/hyperlink" Id="rId67" Target="https://www.mayoclinic.org/es-es/diseases-conditions/metabolic-syndrome/diagnosis-treatment/drc-20351921" TargetMode="External" /><Relationship Type="http://schemas.openxmlformats.org/officeDocument/2006/relationships/hyperlink" Id="rId68" Target="https://www.mayoclinic.org/es-es/diseases-conditions/metabolic-syndrome/symptoms-causes/syc-20351916" TargetMode="External" /><Relationship Type="http://schemas.openxmlformats.org/officeDocument/2006/relationships/hyperlink" Id="rId71" Target="https://www.pediatriaintegral.es/publicacion-2015-07/sindrome-metabolico/" TargetMode="External" /><Relationship Type="http://schemas.openxmlformats.org/officeDocument/2006/relationships/hyperlink" Id="rId53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59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/docs/documentacion/Obesidad_y_sindrome_metabolico.pdf" TargetMode="External" /><Relationship Type="http://schemas.openxmlformats.org/officeDocument/2006/relationships/hyperlink" Id="rId62" Target="http://dspace.utalca.cl/handle/1950/4714" TargetMode="External" /><Relationship Type="http://schemas.openxmlformats.org/officeDocument/2006/relationships/hyperlink" Id="rId56" Target="http://hdl.handle.net/2183/16548" TargetMode="External" /><Relationship Type="http://schemas.openxmlformats.org/officeDocument/2006/relationships/hyperlink" Id="rId58" Target="http://scielo.isciii.es/scielo.php?script=sci_arttext&amp;pid=S0212-16112017000500013&amp;lng=es&amp;nrm=iso" TargetMode="External" /><Relationship Type="http://schemas.openxmlformats.org/officeDocument/2006/relationships/hyperlink" Id="rId54" Target="http://scielo.isciii.es/scielo.php?script=sci_arttext&amp;pid=S1137-66272016000200009&amp;lng=es&amp;nrm=iso" TargetMode="External" /><Relationship Type="http://schemas.openxmlformats.org/officeDocument/2006/relationships/hyperlink" Id="rId52" Target="http://scielo.sld.cu/scielo.php?script=sci_arttext&amp;pid=S1561-29532006000300006" TargetMode="External" /><Relationship Type="http://schemas.openxmlformats.org/officeDocument/2006/relationships/hyperlink" Id="rId57" Target="http://ve.scielo.org/scielo.php?script=sci_arttext&amp;pid=S0048-77322011000200002&amp;lng=es&amp;nrm=iso" TargetMode="External" /><Relationship Type="http://schemas.openxmlformats.org/officeDocument/2006/relationships/hyperlink" Id="rId55" Target="http://ve.scielo.org/scielo.php?script=sci_arttext&amp;pid=S0798-07522007000200006" TargetMode="External" /><Relationship Type="http://schemas.openxmlformats.org/officeDocument/2006/relationships/hyperlink" Id="rId69" Target="http://www.scielo.org.pe/scielo.php?script=sci_arttext&amp;pid=S1025-55832020000100092&amp;lng=es" TargetMode="External" /><Relationship Type="http://schemas.openxmlformats.org/officeDocument/2006/relationships/hyperlink" Id="rId61" Target="https://doi.org/10.1373/clinchem.2005.048611" TargetMode="External" /><Relationship Type="http://schemas.openxmlformats.org/officeDocument/2006/relationships/hyperlink" Id="rId64" Target="https://isanidad.com/67663/la-falta-de-sueno-puede-disminuir-el-colesterol-bueno/" TargetMode="External" /><Relationship Type="http://schemas.openxmlformats.org/officeDocument/2006/relationships/hyperlink" Id="rId66" Target="https://middlesexhealth.org/learning-center/espanol/enfermedades-y-afecciones/s-ndrome-metab-lico" TargetMode="External" /><Relationship Type="http://schemas.openxmlformats.org/officeDocument/2006/relationships/hyperlink" Id="rId63" Target="https://ruc.udc.es/dspace/handle/2183/16548" TargetMode="External" /><Relationship Type="http://schemas.openxmlformats.org/officeDocument/2006/relationships/hyperlink" Id="rId70" Target="https://scielo.isciii.es/scielo.php?script=sci_arttext&amp;pid=S0212-16112017000500013" TargetMode="External" /><Relationship Type="http://schemas.openxmlformats.org/officeDocument/2006/relationships/hyperlink" Id="rId73" Target="https://scielo.isciii.es/scielo.php?script=sci_arttext&amp;pid=S0212-71992008000700003" TargetMode="External" /><Relationship Type="http://schemas.openxmlformats.org/officeDocument/2006/relationships/hyperlink" Id="rId65" Target="https://www.cun.es/enfermedades-tratamientos/enfermedades/sindrome-metabolico" TargetMode="External" /><Relationship Type="http://schemas.openxmlformats.org/officeDocument/2006/relationships/hyperlink" Id="rId72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0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4" Target="https://www.flasog.org/static/academica/Sindrome-Metabolico.pdf" TargetMode="External" /><Relationship Type="http://schemas.openxmlformats.org/officeDocument/2006/relationships/hyperlink" Id="rId67" Target="https://www.mayoclinic.org/es-es/diseases-conditions/metabolic-syndrome/diagnosis-treatment/drc-20351921" TargetMode="External" /><Relationship Type="http://schemas.openxmlformats.org/officeDocument/2006/relationships/hyperlink" Id="rId68" Target="https://www.mayoclinic.org/es-es/diseases-conditions/metabolic-syndrome/symptoms-causes/syc-20351916" TargetMode="External" /><Relationship Type="http://schemas.openxmlformats.org/officeDocument/2006/relationships/hyperlink" Id="rId71" Target="https://www.pediatriaintegral.es/publicacion-2015-07/sindrome-metabolico/" TargetMode="External" /><Relationship Type="http://schemas.openxmlformats.org/officeDocument/2006/relationships/hyperlink" Id="rId53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59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2022-02-05T19:58:33Z</dcterms:created>
  <dcterms:modified xsi:type="dcterms:W3CDTF">2022-02-05T19:58:33Z</dcterms:modified>
</cp:coreProperties>
</file>