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2"/>
      </w:pPr>
      <w:bookmarkStart w:id="36" w:name="por-grupos-de-población"/>
      <w:bookmarkEnd w:id="36"/>
      <w:r>
        <w:t xml:space="preserve">Por grupos de población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menopausia"/>
      <w:bookmarkEnd w:id="40"/>
      <w:r>
        <w:t xml:space="preserve">menopausia</w:t>
      </w:r>
    </w:p>
    <w:p>
      <w:pPr>
        <w:pStyle w:val="Heading3"/>
      </w:pPr>
      <w:bookmarkStart w:id="41" w:name="sn-en-la-tercera-edad-4"/>
      <w:bookmarkEnd w:id="41"/>
      <w:r>
        <w:t xml:space="preserve">SN en la tercera edad</w:t>
      </w:r>
      <w:r>
        <w:t xml:space="preserve"> 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7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7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7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7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 ### Patologías relacionadas</w:t>
      </w:r>
    </w:p>
    <w:p>
      <w:pPr>
        <w:pStyle w:val="BodyText"/>
      </w:pPr>
      <w:r>
        <w:t xml:space="preserve">Relación entre el SM y:</w:t>
      </w:r>
    </w:p>
    <w:p>
      <w:pPr>
        <w:pStyle w:val="Compact"/>
        <w:numPr>
          <w:numId w:val="1008"/>
          <w:ilvl w:val="0"/>
        </w:numPr>
      </w:pPr>
      <w:r>
        <w:t xml:space="preserve">el cáncer colorrectal</w:t>
      </w:r>
    </w:p>
    <w:p>
      <w:pPr>
        <w:pStyle w:val="Compact"/>
        <w:numPr>
          <w:numId w:val="1008"/>
          <w:ilvl w:val="0"/>
        </w:numPr>
      </w:pPr>
      <w:r>
        <w:t xml:space="preserve">cáncer de mama</w:t>
      </w:r>
    </w:p>
    <w:p>
      <w:pPr>
        <w:pStyle w:val="Compact"/>
        <w:numPr>
          <w:numId w:val="100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9"/>
          <w:ilvl w:val="0"/>
        </w:numPr>
      </w:pPr>
      <w:r>
        <w:t xml:space="preserve">la esteatosis hepática,</w:t>
      </w:r>
    </w:p>
    <w:p>
      <w:pPr>
        <w:pStyle w:val="Compact"/>
        <w:numPr>
          <w:numId w:val="1009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9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9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9"/>
          <w:ilvl w:val="0"/>
        </w:numPr>
      </w:pPr>
      <w:r>
        <w:t xml:space="preserve">la infertilidad masculina</w:t>
      </w:r>
    </w:p>
    <w:p>
      <w:pPr>
        <w:pStyle w:val="Heading2"/>
      </w:pPr>
      <w:bookmarkStart w:id="42" w:name="tratamiento-y-prevención"/>
      <w:bookmarkEnd w:id="42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3" w:name="relación-con-la-alimentación"/>
      <w:bookmarkEnd w:id="43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4" w:name="hábitos-de-vida"/>
      <w:bookmarkEnd w:id="44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45" w:name="material-y-métodos"/>
      <w:bookmarkEnd w:id="45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6" w:name="resultados"/>
      <w:bookmarkEnd w:id="46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7" w:name="discusión"/>
      <w:bookmarkEnd w:id="47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48" w:name="conclusión"/>
      <w:bookmarkEnd w:id="48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49" w:name="bibliografía"/>
      <w:bookmarkEnd w:id="49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0" w:name="section"/>
      <w:bookmarkEnd w:id="50"/>
      <w:r>
        <w:t xml:space="preserve">1</w:t>
      </w:r>
    </w:p>
    <w:p>
      <w:pPr>
        <w:pStyle w:val="FirstParagraph"/>
      </w:pPr>
      <w:hyperlink r:id="rId51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2" w:name="section-1"/>
      <w:bookmarkEnd w:id="52"/>
      <w:r>
        <w:t xml:space="preserve">2</w:t>
      </w:r>
    </w:p>
    <w:p>
      <w:pPr>
        <w:pStyle w:val="FirstParagraph"/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4" w:name="section-2"/>
      <w:bookmarkEnd w:id="54"/>
      <w:r>
        <w:t xml:space="preserve">3</w:t>
      </w:r>
    </w:p>
    <w:p>
      <w:pPr>
        <w:pStyle w:val="FirstParagraph"/>
      </w:pPr>
      <w:hyperlink r:id="rId55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56" w:name="section-3"/>
      <w:bookmarkEnd w:id="56"/>
      <w:r>
        <w:t xml:space="preserve">4</w:t>
      </w:r>
    </w:p>
    <w:p>
      <w:pPr>
        <w:pStyle w:val="FirstParagraph"/>
      </w:pPr>
      <w:hyperlink r:id="rId5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58" w:name="section-4"/>
      <w:bookmarkEnd w:id="58"/>
      <w:r>
        <w:t xml:space="preserve">5</w:t>
      </w:r>
    </w:p>
    <w:p>
      <w:pPr>
        <w:pStyle w:val="FirstParagraph"/>
      </w:pPr>
      <w:hyperlink r:id="rId5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78" w:name="glosario"/>
      <w:bookmarkEnd w:id="78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fe6a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e4f5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bc707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9" Target="http://hdl.handle.net/2183/16548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1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9" Target="http://hdl.handle.net/2183/16548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1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2022-01-29T16:54:40Z</dcterms:created>
  <dcterms:modified xsi:type="dcterms:W3CDTF">2022-01-29T16:54:40Z</dcterms:modified>
</cp:coreProperties>
</file>