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Compact"/>
        <w:numPr>
          <w:numId w:val="1004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  <w:r>
        <w:br w:type="textWrapping"/>
      </w:r>
      <w:r>
        <w:t xml:space="preserve"># 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El síndrome metabólico y su prevalencia en la población que acude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 farmacia comunitaria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Sevilla</w:t>
        </w:r>
      </w:hyperlink>
    </w:p>
    <w:p>
      <w:pPr>
        <w:numPr>
          <w:numId w:val="1005"/>
          <w:ilvl w:val="0"/>
        </w:numPr>
      </w:pPr>
      <w:r>
        <w:t xml:space="preserve">Córdova-Pluma VH, Castro-Martínez G, Rubio-Guerra A, Hegewisch ME.</w:t>
      </w:r>
      <w:r>
        <w:t xml:space="preserve"> </w:t>
      </w:r>
      <w:r>
        <w:t xml:space="preserve">Breve crónica de la definición del síndrome metabólico. Med Int Méx</w:t>
      </w:r>
      <w:r>
        <w:t xml:space="preserve"> </w:t>
      </w:r>
      <w:r>
        <w:t xml:space="preserve">2014;30:312-328</w:t>
      </w:r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Cambios alimentarios y de estilo de vida como estrategia en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prevención del síndrome metabólico y la diabetes mellitus tipo 2: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perspectivas</w:t>
        </w:r>
      </w:hyperlink>
      <w:r>
        <w:t xml:space="preserve"> </w:t>
      </w:r>
      <w:r>
        <w:t xml:space="preserve"># Anexos</w:t>
      </w:r>
    </w:p>
    <w:p>
      <w:pPr>
        <w:pStyle w:val="Heading2"/>
      </w:pPr>
      <w:bookmarkStart w:id="39" w:name="nomenclaturas"/>
      <w:bookmarkEnd w:id="39"/>
      <w:r>
        <w:t xml:space="preserve">Nomenclaturas</w:t>
      </w:r>
    </w:p>
    <w:p>
      <w:pPr>
        <w:pStyle w:val="FirstParagraph"/>
      </w:pP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380a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dfef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scielo.isciii.es/scielo.php?script=sci_arttext&amp;pid=S1137-66272016000200009" TargetMode="External" /><Relationship Type="http://schemas.openxmlformats.org/officeDocument/2006/relationships/hyperlink" Id="rId32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3" Target="https://www.mayoclinic.org/es-es/diseases-conditions/metabolic-syndrome/diagnosis-treatment/drc-20351921" TargetMode="External" /><Relationship Type="http://schemas.openxmlformats.org/officeDocument/2006/relationships/hyperlink" Id="rId34" Target="https://www.mayoclinic.org/es-es/diseases-conditions/metabolic-syndrome/symptoms-causes/syc-203519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scielo.isciii.es/scielo.php?script=sci_arttext&amp;pid=S1137-66272016000200009" TargetMode="External" /><Relationship Type="http://schemas.openxmlformats.org/officeDocument/2006/relationships/hyperlink" Id="rId32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3" Target="https://www.mayoclinic.org/es-es/diseases-conditions/metabolic-syndrome/diagnosis-treatment/drc-20351921" TargetMode="External" /><Relationship Type="http://schemas.openxmlformats.org/officeDocument/2006/relationships/hyperlink" Id="rId34" Target="https://www.mayoclinic.org/es-es/diseases-conditions/metabolic-syndrome/symptoms-causes/syc-20351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2022-01-16T22:06:37Z</dcterms:created>
  <dcterms:modified xsi:type="dcterms:W3CDTF">2022-01-16T22:06:37Z</dcterms:modified>
</cp:coreProperties>
</file>