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La insulina es una hormona que ayuda a las células del organismo a</w:t>
      </w:r>
      <w:r>
        <w:t xml:space="preserve"> </w:t>
      </w:r>
      <w:r>
        <w:t xml:space="preserve">aceptar el azúcar (glucosa) que les da energía. Normalmente, el páncreas</w:t>
      </w:r>
      <w:r>
        <w:t xml:space="preserve"> </w:t>
      </w:r>
      <w:r>
        <w:t xml:space="preserve">libera insulina cuando se ingieren ciertos alimentos.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habítlos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5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5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5"/>
          <w:ilvl w:val="0"/>
        </w:numPr>
      </w:pPr>
      <w:r>
        <w:t xml:space="preserve">Antiinflamatoria.</w:t>
      </w:r>
    </w:p>
    <w:p>
      <w:pPr>
        <w:pStyle w:val="Compact"/>
        <w:numPr>
          <w:numId w:val="1015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5"/>
          <w:ilvl w:val="0"/>
        </w:numPr>
      </w:pPr>
      <w:r>
        <w:t xml:space="preserve">Reparación endotelial</w:t>
      </w:r>
    </w:p>
    <w:p>
      <w:pPr>
        <w:pStyle w:val="Compact"/>
        <w:numPr>
          <w:numId w:val="1015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6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6"/>
          <w:ilvl w:val="0"/>
        </w:numPr>
      </w:pPr>
      <w:r>
        <w:t xml:space="preserve">Enfermedad renal</w:t>
      </w:r>
    </w:p>
    <w:p>
      <w:pPr>
        <w:pStyle w:val="Compact"/>
        <w:numPr>
          <w:numId w:val="1016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6"/>
          <w:ilvl w:val="0"/>
        </w:numPr>
      </w:pPr>
      <w:r>
        <w:t xml:space="preserve">Problemas de tiroides</w:t>
      </w:r>
    </w:p>
    <w:p>
      <w:pPr>
        <w:pStyle w:val="Compact"/>
        <w:numPr>
          <w:numId w:val="1016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6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6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7" w:name="niveles-elevados-de-triglicéridos"/>
      <w:bookmarkEnd w:id="47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7"/>
          <w:ilvl w:val="0"/>
        </w:numPr>
      </w:pPr>
      <w:r>
        <w:t xml:space="preserve">el cáncer colorrectal</w:t>
      </w:r>
    </w:p>
    <w:p>
      <w:pPr>
        <w:pStyle w:val="Compact"/>
        <w:numPr>
          <w:numId w:val="1017"/>
          <w:ilvl w:val="0"/>
        </w:numPr>
      </w:pPr>
      <w:r>
        <w:t xml:space="preserve">cáncer de mama</w:t>
      </w:r>
    </w:p>
    <w:p>
      <w:pPr>
        <w:pStyle w:val="Compact"/>
        <w:numPr>
          <w:numId w:val="101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8"/>
          <w:ilvl w:val="0"/>
        </w:numPr>
      </w:pPr>
      <w:r>
        <w:t xml:space="preserve">la esteatosis hepática,</w:t>
      </w:r>
    </w:p>
    <w:p>
      <w:pPr>
        <w:pStyle w:val="Compact"/>
        <w:numPr>
          <w:numId w:val="101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5" w:name="complicaciones-materno-fetales"/>
      <w:bookmarkEnd w:id="55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6" w:name="sm-en-la-infancia"/>
      <w:bookmarkEnd w:id="5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43f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3d28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0500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2022-02-15T18:45:12Z</dcterms:created>
  <dcterms:modified xsi:type="dcterms:W3CDTF">2022-02-15T18:45:12Z</dcterms:modified>
</cp:coreProperties>
</file>