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Como tal no es una 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3"/>
      </w:pPr>
      <w:bookmarkStart w:id="34" w:name="factores-de-riesgo.-características."/>
      <w:bookmarkEnd w:id="34"/>
      <w:r>
        <w:t xml:space="preserve">3.2 Factores de riesgo. Características.</w:t>
      </w:r>
    </w:p>
    <w:p>
      <w:pPr>
        <w:pStyle w:val="FirstParagraph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</w:p>
    <w:p>
      <w:pPr>
        <w:pStyle w:val="BodyText"/>
      </w:pPr>
      <w:r>
        <w:t xml:space="preserve">Los de mayor riesgo son los siguientes:</w:t>
      </w:r>
    </w:p>
    <w:p>
      <w:pPr>
        <w:pStyle w:val="BodyText"/>
      </w:pP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 .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IMC. Es un factor de</w:t>
      </w:r>
      <w:r>
        <w:t xml:space="preserve"> </w:t>
      </w:r>
      <w:r>
        <w:t xml:space="preserve">riesgo mayor para enfermedades del corazón que acumular demasiada</w:t>
      </w:r>
      <w:r>
        <w:t xml:space="preserve"> </w:t>
      </w:r>
      <w:r>
        <w:t xml:space="preserve">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criterios-de-diagnóstico"/>
      <w:bookmarkEnd w:id="36"/>
      <w:r>
        <w:t xml:space="preserve">Criterios de diagnóstico</w:t>
      </w:r>
    </w:p>
    <w:p>
      <w:pPr>
        <w:pStyle w:val="Heading4"/>
      </w:pPr>
      <w:bookmarkStart w:id="37" w:name="obesidad-abdominal.-perímetro-de-cintura-elevado."/>
      <w:bookmarkEnd w:id="37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*****Se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otras.****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 El problema viene dado cuando se presenta en exceso. El</w:t>
      </w:r>
      <w:r>
        <w:t xml:space="preserve"> </w:t>
      </w:r>
      <w:r>
        <w:t xml:space="preserve">aumento del colesterol en la sangre y su depósito en las arterias puede</w:t>
      </w:r>
      <w:r>
        <w:t xml:space="preserve"> </w:t>
      </w:r>
      <w:r>
        <w:t xml:space="preserve">ser peligroso y producir ateroesclerosis (estrechamiento o</w:t>
      </w:r>
      <w:r>
        <w:t xml:space="preserve"> </w:t>
      </w:r>
      <w:r>
        <w:t xml:space="preserve">endurecimiento de las arterias por depósito de colesterol en sus</w:t>
      </w:r>
      <w:r>
        <w:t xml:space="preserve"> </w:t>
      </w:r>
      <w:r>
        <w:t xml:space="preserve">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 Los triglicéridos circulan en la sangre mediante</w:t>
      </w:r>
      <w:r>
        <w:t xml:space="preserve"> </w:t>
      </w:r>
      <w:r>
        <w:t xml:space="preserve">unas lipoproteínas que se producen en el intestino y en el hígado y se</w:t>
      </w:r>
      <w:r>
        <w:t xml:space="preserve"> </w:t>
      </w:r>
      <w:r>
        <w:t xml:space="preserve">transportan a los tejidos donde se utilizan como una reserva de energía</w:t>
      </w:r>
      <w:r>
        <w:t xml:space="preserve"> </w:t>
      </w:r>
      <w:r>
        <w:t xml:space="preserve">para cubrir las necesidades metabólicas de los músculos y el cerebro.</w:t>
      </w:r>
    </w:p>
    <w:p>
      <w:pPr>
        <w:pStyle w:val="BodyText"/>
      </w:pPr>
      <w:r>
        <w:t xml:space="preserve">*****Las primeras, se encargan de transportar los triglicéridos de</w:t>
      </w:r>
      <w:r>
        <w:t xml:space="preserve"> </w:t>
      </w:r>
      <w:r>
        <w:t xml:space="preserve">los alimentos que son absorbidos, y las segundas transportan los</w:t>
      </w:r>
      <w:r>
        <w:t xml:space="preserve"> </w:t>
      </w:r>
      <w:r>
        <w:t xml:space="preserve">triglicéridos que sintetiza el hígado.*****</w:t>
      </w:r>
    </w:p>
    <w:p>
      <w:pPr>
        <w:pStyle w:val="BodyText"/>
      </w:pPr>
      <w:r>
        <w:t xml:space="preserve">Las causas más frecuentes de aumento de los triglicéridos son el</w:t>
      </w:r>
      <w:r>
        <w:t xml:space="preserve"> </w:t>
      </w:r>
      <w:r>
        <w:t xml:space="preserve">sobrepeso / obesidad, el exceso de alcohol, la inactividad física, una</w:t>
      </w:r>
      <w:r>
        <w:t xml:space="preserve"> </w:t>
      </w:r>
      <w:r>
        <w:t xml:space="preserve">dieta muy alta en hidratos de carbono (60% o más de las calorías)</w:t>
      </w:r>
      <w:r>
        <w:t xml:space="preserve"> </w:t>
      </w:r>
      <w:r>
        <w:t xml:space="preserve">especialmente si son refinados y fumar.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9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19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19"/>
          <w:ilvl w:val="0"/>
        </w:numPr>
      </w:pPr>
      <w:r>
        <w:t xml:space="preserve">Disbetalipoproteinemia</w:t>
      </w:r>
    </w:p>
    <w:p>
      <w:pPr>
        <w:pStyle w:val="Compact"/>
        <w:numPr>
          <w:numId w:val="1019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0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0"/>
          <w:ilvl w:val="0"/>
        </w:numPr>
      </w:pPr>
      <w:r>
        <w:t xml:space="preserve">Enfermedad renal</w:t>
      </w:r>
    </w:p>
    <w:p>
      <w:pPr>
        <w:pStyle w:val="Compact"/>
        <w:numPr>
          <w:numId w:val="1020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0"/>
          <w:ilvl w:val="0"/>
        </w:numPr>
      </w:pPr>
      <w:r>
        <w:t xml:space="preserve">Problemas de tiroides</w:t>
      </w:r>
    </w:p>
    <w:p>
      <w:pPr>
        <w:pStyle w:val="Compact"/>
        <w:numPr>
          <w:numId w:val="1020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0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0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y:</w:t>
      </w:r>
    </w:p>
    <w:p>
      <w:pPr>
        <w:pStyle w:val="Compact"/>
        <w:numPr>
          <w:numId w:val="1021"/>
          <w:ilvl w:val="0"/>
        </w:numPr>
      </w:pPr>
      <w:r>
        <w:t xml:space="preserve">el cáncer colorrectal</w:t>
      </w:r>
    </w:p>
    <w:p>
      <w:pPr>
        <w:pStyle w:val="Compact"/>
        <w:numPr>
          <w:numId w:val="1021"/>
          <w:ilvl w:val="0"/>
        </w:numPr>
      </w:pPr>
      <w:r>
        <w:t xml:space="preserve">cáncer de mama</w:t>
      </w:r>
    </w:p>
    <w:p>
      <w:pPr>
        <w:pStyle w:val="Compact"/>
        <w:numPr>
          <w:numId w:val="102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y confiere un riesgo importante para el desarrollo de otras enfermedades</w:t>
      </w:r>
      <w:r>
        <w:t xml:space="preserve"> </w:t>
      </w:r>
      <w:r>
        <w:t xml:space="preserve">como:</w:t>
      </w:r>
    </w:p>
    <w:p>
      <w:pPr>
        <w:pStyle w:val="Compact"/>
        <w:numPr>
          <w:numId w:val="1022"/>
          <w:ilvl w:val="0"/>
        </w:numPr>
      </w:pPr>
      <w:r>
        <w:t xml:space="preserve">la esteatosis hepática,</w:t>
      </w:r>
    </w:p>
    <w:p>
      <w:pPr>
        <w:pStyle w:val="Compact"/>
        <w:numPr>
          <w:numId w:val="102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2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3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3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3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4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4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4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9" w:name="sm-en-la-tercera-edad"/>
      <w:bookmarkEnd w:id="49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5"/>
          <w:ilvl w:val="0"/>
        </w:numPr>
      </w:pPr>
      <w:r>
        <w:t xml:space="preserve">Un mayor estrés oxidativo.</w:t>
      </w:r>
    </w:p>
    <w:p>
      <w:pPr>
        <w:pStyle w:val="Compact"/>
        <w:numPr>
          <w:numId w:val="1025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5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5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0" w:name="tratamiento-y-prevención"/>
      <w:bookmarkEnd w:id="50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Disminuir el consumo de azúcares sencillos.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Aumentar el consumo de pescado, especialmente el de pescado</w:t>
      </w:r>
      <w:r>
        <w:rPr>
          <w:b/>
        </w:rPr>
        <w:t xml:space="preserve"> </w:t>
      </w:r>
      <w:r>
        <w:rPr>
          <w:b/>
        </w:rPr>
        <w:t xml:space="preserve">azul.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Incrementar la ingesta de frutas, verduras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Consumo de alcohol.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minutos.</w:t>
      </w:r>
    </w:p>
    <w:p>
      <w:pPr>
        <w:pStyle w:val="FirstParagraph"/>
      </w:pPr>
    </w:p>
    <w:p>
      <w:pPr>
        <w:pStyle w:val="Heading1"/>
      </w:pPr>
      <w:bookmarkStart w:id="53" w:name="material-y-métodos"/>
      <w:bookmarkEnd w:id="53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29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0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0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0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0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0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0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0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0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1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1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1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1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1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1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1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1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1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1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1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1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1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1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1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4" w:name="tablas"/>
      <w:bookmarkEnd w:id="84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30d8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fb8f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50ad1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2022-02-20T19:08:05Z</dcterms:created>
  <dcterms:modified xsi:type="dcterms:W3CDTF">2022-02-20T19:08:05Z</dcterms:modified>
</cp:coreProperties>
</file>