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ndrome-metabólico-síndrome-de-reaven-síndrome-de-insulinorresistencia"/>
      <w:bookmarkEnd w:id="21"/>
      <w:r>
        <w:t xml:space="preserve">Sindrome metabólico, síndrome de Reaven, síndrome de insulinorresistencia</w:t>
      </w:r>
    </w:p>
    <w:p>
      <w:pPr>
        <w:pStyle w:val="Heading1"/>
      </w:pPr>
      <w:bookmarkStart w:id="22" w:name="indice-general"/>
      <w:bookmarkEnd w:id="22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r>
        <w:t xml:space="preserve">Introduccion</w:t>
      </w:r>
    </w:p>
    <w:p>
      <w:pPr>
        <w:numPr>
          <w:numId w:val="1001"/>
          <w:ilvl w:val="0"/>
        </w:numPr>
      </w:pPr>
      <w:r>
        <w:t xml:space="preserve">Descubrimiento</w:t>
      </w:r>
    </w:p>
    <w:p>
      <w:pPr>
        <w:numPr>
          <w:numId w:val="1001"/>
          <w:ilvl w:val="0"/>
        </w:numPr>
      </w:pPr>
      <w:r>
        <w:t xml:space="preserve">Objetivos</w:t>
      </w:r>
    </w:p>
    <w:p>
      <w:pPr>
        <w:numPr>
          <w:numId w:val="1001"/>
          <w:ilvl w:val="0"/>
        </w:numPr>
      </w:pPr>
      <w:r>
        <w:t xml:space="preserve">Parte teorica</w:t>
      </w:r>
    </w:p>
    <w:p>
      <w:pPr>
        <w:pStyle w:val="Compact"/>
        <w:numPr>
          <w:numId w:val="1001"/>
          <w:ilvl w:val="0"/>
        </w:numPr>
      </w:pPr>
      <w:r>
        <w:t xml:space="preserve">Que es</w:t>
      </w:r>
    </w:p>
    <w:p>
      <w:pPr>
        <w:pStyle w:val="Compact"/>
        <w:numPr>
          <w:numId w:val="1002"/>
          <w:ilvl w:val="1"/>
        </w:numPr>
      </w:pPr>
      <w:r>
        <w:t xml:space="preserve">Características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Como identificarlo</w:t>
      </w:r>
    </w:p>
    <w:p>
      <w:pPr>
        <w:pStyle w:val="Compact"/>
        <w:numPr>
          <w:numId w:val="1003"/>
          <w:ilvl w:val="2"/>
        </w:numPr>
      </w:pPr>
      <w:r>
        <w:t xml:space="preserve">Rasgos</w:t>
      </w:r>
    </w:p>
    <w:p>
      <w:pPr>
        <w:pStyle w:val="Compact"/>
        <w:numPr>
          <w:numId w:val="1003"/>
          <w:ilvl w:val="2"/>
        </w:numPr>
      </w:pPr>
      <w:r>
        <w:t xml:space="preserve">Circunferencia grande de cintura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Colesterol bueno o de lipoproteínas de alta densidad</w:t>
      </w:r>
      <w:r>
        <w:t xml:space="preserve"> </w:t>
      </w:r>
      <w:r>
        <w:t xml:space="preserve">reducido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Glucosa sanguínea en ayunas elevada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Hipertensión arterial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Niveles elevados de triglicéridos</w:t>
      </w:r>
    </w:p>
    <w:p>
      <w:pPr>
        <w:numPr>
          <w:numId w:val="1002"/>
          <w:ilvl w:val="1"/>
        </w:numPr>
      </w:pPr>
      <w:r>
        <w:t xml:space="preserve">Patologías relacionadas</w:t>
      </w:r>
    </w:p>
    <w:p>
      <w:pPr>
        <w:pStyle w:val="Compact"/>
        <w:numPr>
          <w:numId w:val="1002"/>
          <w:ilvl w:val="1"/>
        </w:numPr>
      </w:pPr>
      <w:r>
        <w:t xml:space="preserve">Relación con la alimentación</w:t>
      </w:r>
    </w:p>
    <w:p>
      <w:pPr>
        <w:pStyle w:val="Compact"/>
        <w:numPr>
          <w:numId w:val="1002"/>
          <w:ilvl w:val="1"/>
        </w:numPr>
      </w:pPr>
      <w:r>
        <w:t xml:space="preserve">Hábitos de vida</w:t>
      </w:r>
      <w:r>
        <w:br w:type="textWrapping"/>
      </w:r>
    </w:p>
    <w:p>
      <w:pPr>
        <w:numPr>
          <w:numId w:val="1002"/>
          <w:ilvl w:val="1"/>
        </w:numPr>
      </w:pPr>
      <w:r>
        <w:t xml:space="preserve">Prevención y Tratamiento</w:t>
      </w:r>
    </w:p>
    <w:p>
      <w:pPr>
        <w:pStyle w:val="Compact"/>
        <w:numPr>
          <w:numId w:val="1002"/>
          <w:ilvl w:val="1"/>
        </w:numPr>
      </w:pPr>
      <w:r>
        <w:t xml:space="preserve">Por grupos de población</w:t>
      </w:r>
    </w:p>
    <w:p>
      <w:pPr>
        <w:pStyle w:val="Compact"/>
        <w:numPr>
          <w:numId w:val="1002"/>
          <w:ilvl w:val="1"/>
        </w:numPr>
      </w:pPr>
      <w:r>
        <w:t xml:space="preserve">niños</w:t>
      </w:r>
    </w:p>
    <w:p>
      <w:pPr>
        <w:pStyle w:val="Compact"/>
        <w:numPr>
          <w:numId w:val="1002"/>
          <w:ilvl w:val="1"/>
        </w:numPr>
      </w:pPr>
      <w:r>
        <w:t xml:space="preserve">adultos</w:t>
      </w:r>
    </w:p>
    <w:p>
      <w:pPr>
        <w:pStyle w:val="Compact"/>
        <w:numPr>
          <w:numId w:val="1002"/>
          <w:ilvl w:val="1"/>
        </w:numPr>
      </w:pPr>
      <w:r>
        <w:t xml:space="preserve">mujer</w:t>
      </w:r>
    </w:p>
    <w:p>
      <w:pPr>
        <w:pStyle w:val="Compact"/>
        <w:numPr>
          <w:numId w:val="1004"/>
          <w:ilvl w:val="2"/>
        </w:numPr>
      </w:pPr>
      <w:r>
        <w:t xml:space="preserve">menopausia</w:t>
      </w:r>
    </w:p>
    <w:p>
      <w:pPr>
        <w:numPr>
          <w:numId w:val="1002"/>
          <w:ilvl w:val="1"/>
        </w:numPr>
      </w:pPr>
      <w:r>
        <w:t xml:space="preserve">tercera edad</w:t>
      </w:r>
    </w:p>
    <w:p>
      <w:pPr>
        <w:pStyle w:val="Compact"/>
        <w:numPr>
          <w:numId w:val="1001"/>
          <w:ilvl w:val="0"/>
        </w:numPr>
      </w:pPr>
      <w:r>
        <w:t xml:space="preserve">Material y metodos</w:t>
      </w:r>
    </w:p>
    <w:p>
      <w:pPr>
        <w:pStyle w:val="Compact"/>
        <w:numPr>
          <w:numId w:val="1001"/>
          <w:ilvl w:val="0"/>
        </w:numPr>
      </w:pPr>
      <w:r>
        <w:t xml:space="preserve">Resultados</w:t>
      </w:r>
    </w:p>
    <w:p>
      <w:pPr>
        <w:pStyle w:val="Compact"/>
        <w:numPr>
          <w:numId w:val="1001"/>
          <w:ilvl w:val="0"/>
        </w:numPr>
      </w:pPr>
      <w:r>
        <w:t xml:space="preserve">Discusion</w:t>
      </w:r>
    </w:p>
    <w:p>
      <w:pPr>
        <w:pStyle w:val="Compact"/>
        <w:numPr>
          <w:numId w:val="1001"/>
          <w:ilvl w:val="0"/>
        </w:numPr>
      </w:pPr>
      <w:r>
        <w:t xml:space="preserve">Conclusion</w:t>
      </w:r>
    </w:p>
    <w:p>
      <w:pPr>
        <w:numPr>
          <w:numId w:val="1001"/>
          <w:ilvl w:val="0"/>
        </w:numPr>
      </w:pPr>
      <w:r>
        <w:t xml:space="preserve">Bibliografia</w:t>
      </w:r>
    </w:p>
    <w:p>
      <w:pPr>
        <w:pStyle w:val="Heading1"/>
      </w:pPr>
      <w:bookmarkStart w:id="23" w:name="introducción"/>
      <w:bookmarkEnd w:id="23"/>
      <w:r>
        <w:t xml:space="preserve">Introducción</w:t>
      </w:r>
    </w:p>
    <w:p>
      <w:pPr>
        <w:pStyle w:val="FirstParagraph"/>
      </w:pPr>
      <w:r>
        <w:t xml:space="preserve">En 1988 Gerarld Reaven llamó 'síndrome X' a la agrupación de resistencia</w:t>
      </w:r>
      <w:r>
        <w:t xml:space="preserve"> </w:t>
      </w:r>
      <w:r>
        <w:t xml:space="preserve">a la insulina, dislipidemia e hipertensión, que 1999 la OMS denomiana</w:t>
      </w:r>
      <w:r>
        <w:t xml:space="preserve"> </w:t>
      </w:r>
      <w:r>
        <w:t xml:space="preserve">'síndrome metabólico'.</w:t>
      </w:r>
    </w:p>
    <w:p>
      <w:pPr>
        <w:pStyle w:val="BodyText"/>
      </w:pPr>
      <w:r>
        <w:t xml:space="preserve">Diversas instituciones han establecido criterios buscando definir la</w:t>
      </w:r>
      <w:r>
        <w:t xml:space="preserve"> </w:t>
      </w:r>
      <w:r>
        <w:t xml:space="preserve">lista de factores que lo componen, siendo los aceptados de forma común:</w:t>
      </w:r>
      <w:r>
        <w:t xml:space="preserve"> </w:t>
      </w:r>
      <w:r>
        <w:t xml:space="preserve">obesidad abdominal, dislipidemia aterogénica, aumento de la presión</w:t>
      </w:r>
      <w:r>
        <w:t xml:space="preserve"> </w:t>
      </w:r>
      <w:r>
        <w:t xml:space="preserve">arterial, resistencia insulina, estado proinflamatorio y estado</w:t>
      </w:r>
      <w:r>
        <w:t xml:space="preserve"> </w:t>
      </w:r>
      <w:r>
        <w:t xml:space="preserve">protrombótico. Aunque no se ha llegado a un acuerdo sobre todos los</w:t>
      </w:r>
      <w:r>
        <w:t xml:space="preserve"> </w:t>
      </w:r>
      <w:r>
        <w:t xml:space="preserve">factores y varemos que pudieran determinar el diagnóstico del SM com</w:t>
      </w:r>
      <w:r>
        <w:t xml:space="preserve"> </w:t>
      </w:r>
      <w:r>
        <w:t xml:space="preserve">tal.</w:t>
      </w:r>
    </w:p>
    <w:p>
      <w:pPr>
        <w:pStyle w:val="BodyText"/>
      </w:pPr>
      <w:r>
        <w:t xml:space="preserve">Finalmente se ha visto que el enfoque adecuado, en vez de pretender</w:t>
      </w:r>
      <w:r>
        <w:t xml:space="preserve"> </w:t>
      </w:r>
      <w:r>
        <w:t xml:space="preserve">realizar un diagnóstico de SM que cumpla una lista cerrada de criterios,</w:t>
      </w:r>
      <w:r>
        <w:t xml:space="preserve"> </w:t>
      </w:r>
      <w:r>
        <w:t xml:space="preserve">sea una guía que ayude a detectar los factores de riesgo que pueden</w:t>
      </w:r>
      <w:r>
        <w:t xml:space="preserve"> </w:t>
      </w:r>
      <w:r>
        <w:t xml:space="preserve">desembocar en diabetes y enfermedades cardiovasculares. De esta manera</w:t>
      </w:r>
      <w:r>
        <w:t xml:space="preserve"> </w:t>
      </w:r>
      <w:r>
        <w:t xml:space="preserve">resulta una mejor herramienta clínica para la prevención y detección del</w:t>
      </w:r>
      <w:r>
        <w:t xml:space="preserve"> </w:t>
      </w:r>
      <w:r>
        <w:t xml:space="preserve">riesgo de esas enfermedades.</w:t>
      </w:r>
    </w:p>
    <w:p>
      <w:pPr>
        <w:pStyle w:val="BodyText"/>
      </w:pPr>
      <w:r>
        <w:t xml:space="preserve">Así, desde el punto de vista operativo, SM es el conjunto de</w:t>
      </w:r>
      <w:r>
        <w:t xml:space="preserve"> </w:t>
      </w:r>
      <w:r>
        <w:t xml:space="preserve">alteraciones metabólicas y vasculares que parten de la obesidad</w:t>
      </w:r>
      <w:r>
        <w:t xml:space="preserve"> </w:t>
      </w:r>
      <w:r>
        <w:t xml:space="preserve">abdominal y la resistencia insulina, fenómenos que a través de procesos</w:t>
      </w:r>
      <w:r>
        <w:t xml:space="preserve"> </w:t>
      </w:r>
      <w:r>
        <w:t xml:space="preserve">inflamatorios, oxidativos y de disfunción endotelial, predisponen a un</w:t>
      </w:r>
      <w:r>
        <w:t xml:space="preserve"> </w:t>
      </w:r>
      <w:r>
        <w:t xml:space="preserve">mayor riesgo de diabetes y eventos cardiovasculares.</w:t>
      </w:r>
    </w:p>
    <w:p>
      <w:pPr>
        <w:pStyle w:val="Heading2"/>
      </w:pPr>
      <w:bookmarkStart w:id="24" w:name="historia"/>
      <w:bookmarkEnd w:id="24"/>
      <w:r>
        <w:t xml:space="preserve">Historia</w:t>
      </w:r>
    </w:p>
    <w:tbl>
      <w:tblPr>
        <w:tblStyle w:val="TableNormal"/>
        <w:tblW w:type="pct" w:w="4943.820224719101"/>
        <w:tblLook w:firstRow="1"/>
      </w:tblPr>
      <w:tblGrid>
        <w:gridCol w:w="1913"/>
        <w:gridCol w:w="2091"/>
        <w:gridCol w:w="1913"/>
        <w:gridCol w:w="19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</w:t>
            </w:r>
            <w:r>
              <w:t xml:space="preserve"> </w:t>
            </w:r>
            <w:r>
              <w:t xml:space="preserve">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</w:t>
            </w:r>
            <w:r>
              <w:t xml:space="preserve"> </w:t>
            </w:r>
            <w:r>
              <w:t xml:space="preserve">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Trisíndrome metabólico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</w:t>
            </w:r>
            <w:r>
              <w:t xml:space="preserve"> </w:t>
            </w:r>
            <w:r>
              <w:t xml:space="preserve">asociación con hipertensión y enfermedad</w:t>
            </w:r>
            <w:r>
              <w:t xml:space="preserve"> </w:t>
            </w:r>
            <w:r>
              <w:t xml:space="preserve">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</w:t>
            </w:r>
            <w:r>
              <w:t xml:space="preserve"> </w:t>
            </w:r>
            <w:r>
              <w:t xml:space="preserve">nutrición y los cambios en el estilo de</w:t>
            </w:r>
            <w:r>
              <w:t xml:space="preserve"> </w:t>
            </w:r>
            <w:r>
              <w:t xml:space="preserve">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</w:t>
            </w:r>
            <w:r>
              <w:t xml:space="preserve"> </w:t>
            </w:r>
            <w:r>
              <w:t xml:space="preserve">obesidad, hipertensión, hiperlipidemia y</w:t>
            </w:r>
            <w:r>
              <w:t xml:space="preserve"> </w:t>
            </w:r>
            <w:r>
              <w:t xml:space="preserve">trombofilia, sobre una base genética y de</w:t>
            </w:r>
            <w:r>
              <w:t xml:space="preserve"> </w:t>
            </w:r>
            <w:r>
              <w:t xml:space="preserve">influencias medioambientales:</w:t>
            </w:r>
            <w:r>
              <w:t xml:space="preserve"> </w:t>
            </w:r>
            <w:r>
              <w:t xml:space="preserve">sobrealimentación, sedentarismo,</w:t>
            </w:r>
            <w:r>
              <w:t xml:space="preserve"> </w:t>
            </w:r>
            <w:r>
              <w:t xml:space="preserve">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</w:t>
            </w:r>
            <w:r>
              <w:t xml:space="preserve"> </w:t>
            </w:r>
            <w:r>
              <w:t xml:space="preserve">diabetes: hipertensión arterial esencial,</w:t>
            </w:r>
            <w:r>
              <w:t xml:space="preserve"> </w:t>
            </w:r>
            <w:r>
              <w:t xml:space="preserve">resistencia a insulina, hiperglucemia,</w:t>
            </w:r>
            <w:r>
              <w:t xml:space="preserve"> </w:t>
            </w:r>
            <w:r>
              <w:t xml:space="preserve">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</w:t>
            </w:r>
            <w:r>
              <w:t xml:space="preserve"> </w:t>
            </w:r>
            <w:r>
              <w:t xml:space="preserve">glucosa, hipertrigliceridemia e</w:t>
            </w:r>
            <w:r>
              <w:t xml:space="preserve"> </w:t>
            </w:r>
            <w:r>
              <w:t xml:space="preserve">hipertensión; importancia en el desarrollo</w:t>
            </w:r>
            <w:r>
              <w:t xml:space="preserve"> </w:t>
            </w:r>
            <w:r>
              <w:t xml:space="preserve">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</w:t>
            </w:r>
            <w:r>
              <w:t xml:space="preserve"> </w:t>
            </w:r>
            <w:r>
              <w:t xml:space="preserve">ser ≥ 0,9 en hombres y ≥ 0,85 en mujeres o</w:t>
            </w:r>
            <w:r>
              <w:t xml:space="preserve"> </w:t>
            </w:r>
            <w:r>
              <w:t xml:space="preserve">un IMC ≥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</w:t>
            </w:r>
            <w:r>
              <w:t xml:space="preserve"> </w:t>
            </w:r>
            <w:r>
              <w:t xml:space="preserve">de las lipoproteínas de baja densidad</w:t>
            </w:r>
            <w:r>
              <w:t xml:space="preserve"> </w:t>
            </w:r>
            <w:r>
              <w:t xml:space="preserve">(LDL) (c-LDL)alto, con obesidad</w:t>
            </w:r>
            <w:r>
              <w:t xml:space="preserve"> </w:t>
            </w:r>
            <w:r>
              <w:t xml:space="preserve">central:≥102cm hombre, ≥88cm mujer, con</w:t>
            </w:r>
            <w:r>
              <w:t xml:space="preserve"> </w:t>
            </w:r>
            <w:r>
              <w:t xml:space="preserve">triglicéridos altos, con colesterol HDL</w:t>
            </w:r>
            <w:r>
              <w:t xml:space="preserve"> </w:t>
            </w:r>
            <w:r>
              <w:t xml:space="preserve">(c-HDL) bajo, hipertensión arterial y</w:t>
            </w:r>
            <w:r>
              <w:t xml:space="preserve"> </w:t>
            </w:r>
            <w:r>
              <w:t xml:space="preserve">glucemias ≥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</w:t>
            </w:r>
            <w:r>
              <w:t xml:space="preserve"> </w:t>
            </w:r>
            <w:r>
              <w:t xml:space="preserve">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</w:t>
            </w:r>
            <w:r>
              <w:t xml:space="preserve"> </w:t>
            </w:r>
            <w:r>
              <w:t xml:space="preserve">insulina y las enfermedades</w:t>
            </w:r>
            <w:r>
              <w:t xml:space="preserve"> </w:t>
            </w:r>
            <w:r>
              <w:t xml:space="preserve">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</w:t>
            </w:r>
            <w:r>
              <w:t xml:space="preserve"> </w:t>
            </w:r>
            <w:r>
              <w:t xml:space="preserve">mínimas,que en 2001 eran ≥ 135/85 mmHg, a</w:t>
            </w:r>
            <w:r>
              <w:t xml:space="preserve"> </w:t>
            </w:r>
            <w:r>
              <w:t xml:space="preserve">130/85 mmHg o cifras normales en</w:t>
            </w:r>
            <w:r>
              <w:t xml:space="preserve"> </w:t>
            </w:r>
            <w:r>
              <w:t xml:space="preserve">hipertensos con tratamiento establecido, y</w:t>
            </w:r>
            <w:r>
              <w:t xml:space="preserve"> </w:t>
            </w:r>
            <w:r>
              <w:t xml:space="preserve">la glucemia pasó a ser ≥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</w:t>
            </w:r>
            <w:r>
              <w:t xml:space="preserve"> </w:t>
            </w:r>
            <w:r>
              <w:t xml:space="preserve">imprescindible, además de dos, de los</w:t>
            </w:r>
            <w:r>
              <w:t xml:space="preserve"> </w:t>
            </w:r>
            <w:r>
              <w:t xml:space="preserve">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</w:t>
            </w:r>
            <w:r>
              <w:t xml:space="preserve"> </w:t>
            </w:r>
            <w:r>
              <w:t xml:space="preserve">on Epidemiology and Prevention National</w:t>
            </w:r>
            <w:r>
              <w:t xml:space="preserve"> </w:t>
            </w:r>
            <w:r>
              <w:t xml:space="preserve">Heart,Lung, and Blood Institute American Heart</w:t>
            </w:r>
            <w:r>
              <w:t xml:space="preserve"> </w:t>
            </w:r>
            <w:r>
              <w:t xml:space="preserve">Association World Heart Federation</w:t>
            </w:r>
            <w:r>
              <w:t xml:space="preserve"> </w:t>
            </w:r>
            <w:r>
              <w:t xml:space="preserve">International Atherosclerosis Society and</w:t>
            </w:r>
            <w:r>
              <w:t xml:space="preserve"> </w:t>
            </w:r>
            <w:r>
              <w:t xml:space="preserve">International Association for the Study of</w:t>
            </w:r>
            <w:r>
              <w:t xml:space="preserve"> </w:t>
            </w:r>
            <w:r>
              <w:t xml:space="preserve">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</w:t>
            </w:r>
            <w:r>
              <w:t xml:space="preserve"> </w:t>
            </w:r>
            <w:r>
              <w:t xml:space="preserve">de cintura deja de ser criterio</w:t>
            </w:r>
            <w:r>
              <w:t xml:space="preserve"> </w:t>
            </w:r>
            <w:r>
              <w:t xml:space="preserve">imprescindible</w:t>
            </w:r>
          </w:p>
        </w:tc>
      </w:tr>
    </w:tbl>
    <w:p>
      <w:pPr>
        <w:pStyle w:val="Heading2"/>
      </w:pPr>
      <w:bookmarkStart w:id="25" w:name="qué-es"/>
      <w:bookmarkEnd w:id="25"/>
      <w:r>
        <w:t xml:space="preserve">Qué es</w:t>
      </w:r>
    </w:p>
    <w:p>
      <w:pPr>
        <w:pStyle w:val="FirstParagraph"/>
      </w:pPr>
      <w:r>
        <w:t xml:space="preserve">El síndrome metabólico es un grupo de trastornos que se presentan al</w:t>
      </w:r>
      <w:r>
        <w:t xml:space="preserve"> </w:t>
      </w:r>
      <w:r>
        <w:t xml:space="preserve">mismo tiempo y aumentan el riesgo de enfermedad cardíaca, accidente</w:t>
      </w:r>
      <w:r>
        <w:t xml:space="preserve"> </w:t>
      </w:r>
      <w:r>
        <w:t xml:space="preserve">cerebrovascular y diabetes tipo 2. Estos trastornos incluyen:</w:t>
      </w:r>
      <w:r>
        <w:br w:type="textWrapping"/>
      </w:r>
      <w:r>
        <w:t xml:space="preserve">- aumento de la presión arterial</w:t>
      </w:r>
      <w:r>
        <w:br w:type="textWrapping"/>
      </w:r>
      <w:r>
        <w:t xml:space="preserve">- niveles altos de azúcar en sangre</w:t>
      </w:r>
      <w:r>
        <w:br w:type="textWrapping"/>
      </w:r>
      <w:r>
        <w:t xml:space="preserve">- exceso de grasa corporal alrededor de la cintura</w:t>
      </w:r>
      <w:r>
        <w:br w:type="textWrapping"/>
      </w:r>
      <w:r>
        <w:t xml:space="preserve">- niveles anormales de colesterol o triglicéridos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1"/>
      </w:pPr>
      <w:bookmarkStart w:id="28" w:name="material-y-métodos"/>
      <w:bookmarkEnd w:id="28"/>
      <w:r>
        <w:t xml:space="preserve">Material y métodos</w:t>
      </w:r>
    </w:p>
    <w:p>
      <w:pPr>
        <w:pStyle w:val="Heading1"/>
      </w:pPr>
      <w:bookmarkStart w:id="29" w:name="resultados"/>
      <w:bookmarkEnd w:id="29"/>
      <w:r>
        <w:t xml:space="preserve">Resultados</w:t>
      </w:r>
    </w:p>
    <w:p>
      <w:pPr>
        <w:pStyle w:val="Heading1"/>
      </w:pPr>
      <w:bookmarkStart w:id="30" w:name="discusión"/>
      <w:bookmarkEnd w:id="30"/>
      <w:r>
        <w:t xml:space="preserve">Discusión</w:t>
      </w:r>
    </w:p>
    <w:p>
      <w:pPr>
        <w:pStyle w:val="Heading1"/>
      </w:pPr>
      <w:bookmarkStart w:id="31" w:name="conclusión"/>
      <w:bookmarkEnd w:id="31"/>
      <w:r>
        <w:t xml:space="preserve">Conclusión</w:t>
      </w:r>
    </w:p>
    <w:p>
      <w:pPr>
        <w:pStyle w:val="Heading1"/>
      </w:pPr>
      <w:bookmarkStart w:id="32" w:name="bibliografía"/>
      <w:bookmarkEnd w:id="32"/>
      <w:r>
        <w:t xml:space="preserve">Bibliografía</w:t>
      </w:r>
    </w:p>
    <w:p>
      <w:pPr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numPr>
          <w:numId w:val="1005"/>
          <w:ilvl w:val="0"/>
        </w:numPr>
      </w:pPr>
      <w:hyperlink r:id="rId35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numPr>
          <w:numId w:val="1005"/>
          <w:ilvl w:val="0"/>
        </w:numPr>
      </w:pPr>
      <w:hyperlink r:id="rId36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numPr>
          <w:numId w:val="1005"/>
          <w:ilvl w:val="0"/>
        </w:numPr>
      </w:pPr>
      <w:hyperlink r:id="rId37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numPr>
          <w:numId w:val="1005"/>
          <w:ilvl w:val="0"/>
        </w:numPr>
      </w:pPr>
      <w:hyperlink r:id="rId38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numPr>
          <w:numId w:val="1005"/>
          <w:ilvl w:val="0"/>
        </w:numPr>
      </w:pPr>
      <w:hyperlink r:id="rId40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https://www.mayoclinic.org/es-es/diseases-conditions/metabolic-syndrome/diagnosis-treatment/drc-20351921</w:t>
        </w:r>
      </w:hyperlink>
    </w:p>
    <w:p>
      <w:pPr>
        <w:numPr>
          <w:numId w:val="1005"/>
          <w:ilvl w:val="0"/>
        </w:numPr>
      </w:pPr>
      <w:hyperlink r:id="rId43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Heading1"/>
      </w:pPr>
      <w:bookmarkStart w:id="44" w:name="anexos"/>
      <w:bookmarkEnd w:id="44"/>
      <w:r>
        <w:t xml:space="preserve">Anexos</w:t>
      </w:r>
    </w:p>
    <w:p>
      <w:pPr>
        <w:pStyle w:val="Heading2"/>
      </w:pPr>
      <w:bookmarkStart w:id="45" w:name="vocabulario"/>
      <w:bookmarkEnd w:id="45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46" w:name="abreviaturas"/>
      <w:bookmarkEnd w:id="46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7fccb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e38a75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7" Target="http://dspace.utalca.cl/handle/1950/4714" TargetMode="External" /><Relationship Type="http://schemas.openxmlformats.org/officeDocument/2006/relationships/hyperlink" Id="rId34" Target="http://scielo.isciii.es/scielo.php?script=sci_arttext&amp;pid=S1137-66272016000200009&amp;lng=es&amp;nrm=iso" TargetMode="External" /><Relationship Type="http://schemas.openxmlformats.org/officeDocument/2006/relationships/hyperlink" Id="rId36" Target="https://doi.org/10.1373/clinchem.2005.048611" TargetMode="External" /><Relationship Type="http://schemas.openxmlformats.org/officeDocument/2006/relationships/hyperlink" Id="rId39" Target="https://isanidad.com/67663/la-falta-de-sueno-puede-disminuir-el-colesterol-bueno/" TargetMode="External" /><Relationship Type="http://schemas.openxmlformats.org/officeDocument/2006/relationships/hyperlink" Id="rId41" Target="https://middlesexhealth.org/learning-center/espanol/enfermedades-y-afecciones/s-ndrome-metab-lico" TargetMode="External" /><Relationship Type="http://schemas.openxmlformats.org/officeDocument/2006/relationships/hyperlink" Id="rId38" Target="https://ruc.udc.es/dspace/handle/2183/16548" TargetMode="External" /><Relationship Type="http://schemas.openxmlformats.org/officeDocument/2006/relationships/hyperlink" Id="rId40" Target="https://www.cun.es/enfermedades-tratamientos/enfermedades/sindrome-metabolico" TargetMode="External" /><Relationship Type="http://schemas.openxmlformats.org/officeDocument/2006/relationships/hyperlink" Id="rId3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42" Target="https://www.mayoclinic.org/es-es/diseases-conditions/metabolic-syndrome/diagnosis-treatment/drc-20351921" TargetMode="External" /><Relationship Type="http://schemas.openxmlformats.org/officeDocument/2006/relationships/hyperlink" Id="rId43" Target="https://www.mayoclinic.org/es-es/diseases-conditions/metabolic-syndrome/symptoms-causes/syc-20351916" TargetMode="External" /><Relationship Type="http://schemas.openxmlformats.org/officeDocument/2006/relationships/hyperlink" Id="rId33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://dspace.utalca.cl/handle/1950/4714" TargetMode="External" /><Relationship Type="http://schemas.openxmlformats.org/officeDocument/2006/relationships/hyperlink" Id="rId34" Target="http://scielo.isciii.es/scielo.php?script=sci_arttext&amp;pid=S1137-66272016000200009&amp;lng=es&amp;nrm=iso" TargetMode="External" /><Relationship Type="http://schemas.openxmlformats.org/officeDocument/2006/relationships/hyperlink" Id="rId36" Target="https://doi.org/10.1373/clinchem.2005.048611" TargetMode="External" /><Relationship Type="http://schemas.openxmlformats.org/officeDocument/2006/relationships/hyperlink" Id="rId39" Target="https://isanidad.com/67663/la-falta-de-sueno-puede-disminuir-el-colesterol-bueno/" TargetMode="External" /><Relationship Type="http://schemas.openxmlformats.org/officeDocument/2006/relationships/hyperlink" Id="rId41" Target="https://middlesexhealth.org/learning-center/espanol/enfermedades-y-afecciones/s-ndrome-metab-lico" TargetMode="External" /><Relationship Type="http://schemas.openxmlformats.org/officeDocument/2006/relationships/hyperlink" Id="rId38" Target="https://ruc.udc.es/dspace/handle/2183/16548" TargetMode="External" /><Relationship Type="http://schemas.openxmlformats.org/officeDocument/2006/relationships/hyperlink" Id="rId40" Target="https://www.cun.es/enfermedades-tratamientos/enfermedades/sindrome-metabolico" TargetMode="External" /><Relationship Type="http://schemas.openxmlformats.org/officeDocument/2006/relationships/hyperlink" Id="rId3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42" Target="https://www.mayoclinic.org/es-es/diseases-conditions/metabolic-syndrome/diagnosis-treatment/drc-20351921" TargetMode="External" /><Relationship Type="http://schemas.openxmlformats.org/officeDocument/2006/relationships/hyperlink" Id="rId43" Target="https://www.mayoclinic.org/es-es/diseases-conditions/metabolic-syndrome/symptoms-causes/syc-20351916" TargetMode="External" /><Relationship Type="http://schemas.openxmlformats.org/officeDocument/2006/relationships/hyperlink" Id="rId33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2022-01-18T19:45:22Z</dcterms:created>
  <dcterms:modified xsi:type="dcterms:W3CDTF">2022-01-18T19:45:22Z</dcterms:modified>
</cp:coreProperties>
</file>