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II.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III.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III.1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III.2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III.2.1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III.2.2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III.2.2.1 SM en el hombre</w:t>
      </w:r>
    </w:p>
    <w:p>
      <w:pPr>
        <w:pStyle w:val="Compact"/>
        <w:numPr>
          <w:numId w:val="1005"/>
          <w:ilvl w:val="3"/>
        </w:numPr>
      </w:pPr>
      <w:r>
        <w:t xml:space="preserve">III.2.2.2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III.2.2.3 SM en la infancia</w:t>
      </w:r>
    </w:p>
    <w:p>
      <w:pPr>
        <w:pStyle w:val="Compact"/>
        <w:numPr>
          <w:numId w:val="1005"/>
          <w:ilvl w:val="3"/>
        </w:numPr>
      </w:pPr>
      <w:r>
        <w:t xml:space="preserve">III.2.2.4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III.3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IV.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V.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VI.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VII.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VIII.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iii.2.2.2-sm-en-la-mujer"/>
      <w:bookmarkEnd w:id="39"/>
      <w:r>
        <w:t xml:space="preserve">III.2.2.2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iii.2.2.3-sm-en-la-infancia"/>
      <w:bookmarkEnd w:id="42"/>
      <w:r>
        <w:t xml:space="preserve">III.2.2.3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iii.2.2.4-sm-en-la-tercera-edad"/>
      <w:bookmarkEnd w:id="44"/>
      <w:r>
        <w:t xml:space="preserve">III.2.2.4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de24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b9d4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cb60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2022-01-30T20:46:37Z</dcterms:created>
  <dcterms:modified xsi:type="dcterms:W3CDTF">2022-01-30T20:46:37Z</dcterms:modified>
</cp:coreProperties>
</file>