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(mayor o igual de 88 es de riesgo para enfermedades cardiovasculares</w:t>
      </w:r>
      <w:r>
        <w:t xml:space="preserve"> </w:t>
      </w:r>
      <w:r>
        <w:t xml:space="preserve">y diabetes según criterio de la OMS). Perímetro de cadera 110 cm,</w:t>
      </w:r>
      <w:r>
        <w:t xml:space="preserve"> </w:t>
      </w:r>
      <w:r>
        <w:t xml:space="preserve">perímetro de pantorrilla 39,5 cm, perímetro de muslo 57cm y perímetro de</w:t>
      </w:r>
      <w:r>
        <w:t xml:space="preserve"> </w:t>
      </w:r>
      <w:r>
        <w:t xml:space="preserve">muñeca 16.5 cm. (157 /16,5 =9,8), se trata por tanto de una mujer de</w:t>
      </w:r>
      <w:r>
        <w:t xml:space="preserve"> </w:t>
      </w:r>
      <w:r>
        <w:t xml:space="preserve">complexión mediana.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hipercolesterolemia, hipertensión, obesidad grado I, lo que conlleva 4</w:t>
      </w:r>
      <w:r>
        <w:t xml:space="preserve"> </w:t>
      </w:r>
      <w:r>
        <w:t xml:space="preserve">de las 5 características que conforman el síndrome metabólico.</w:t>
      </w:r>
    </w:p>
    <w:p>
      <w:pPr>
        <w:pStyle w:val="BodyText"/>
      </w:pPr>
      <w:r>
        <w:t xml:space="preserve">Está realizando tratamiento hipolipemiante para control de colesterol e</w:t>
      </w:r>
      <w:r>
        <w:t xml:space="preserve"> </w:t>
      </w:r>
      <w:r>
        <w:t xml:space="preserve">hipoglucemiante oral por indicación de su médico de cabecera.</w:t>
      </w:r>
    </w:p>
    <w:p>
      <w:pPr>
        <w:numPr>
          <w:numId w:val="1042"/>
          <w:ilvl w:val="0"/>
        </w:numPr>
      </w:pPr>
      <w:r>
        <w:t xml:space="preserve">Atorvastatina 40 mg 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t xml:space="preserve">Metformina 850 mg 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</w:p>
    <w:p>
      <w:pPr>
        <w:pStyle w:val="BodyText"/>
      </w:pPr>
      <w:r>
        <w:t xml:space="preserve">Refiere enfermedad coronaria precoz en 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II.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alcoholes de vino o cerveza ligados a comidas familiares o</w:t>
      </w:r>
      <w:r>
        <w:t xml:space="preserve"> </w:t>
      </w:r>
      <w:r>
        <w:t xml:space="preserve">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  <w:r>
        <w:t xml:space="preserve">El cálculo de gasto de energía del metabolismo basal en reposo lo</w:t>
      </w:r>
      <w:r>
        <w:t xml:space="preserve"> </w:t>
      </w:r>
      <w:r>
        <w:t xml:space="preserve">realizo por la fórmula de Harris y Benedict dando un resultado de una</w:t>
      </w:r>
      <w:r>
        <w:t xml:space="preserve"> </w:t>
      </w:r>
      <w:r>
        <w:t xml:space="preserve">TMR de 1210 kcal.</w:t>
      </w:r>
    </w:p>
    <w:p>
      <w:pPr>
        <w:pStyle w:val="BodyText"/>
      </w:pPr>
      <w:r>
        <w:t xml:space="preserve">La energía del trabajo es de 363 kcal., el 30% del MB que corresponde</w:t>
      </w:r>
      <w:r>
        <w:t xml:space="preserve"> </w:t>
      </w:r>
      <w:r>
        <w:t xml:space="preserve">con una actividad ligera. Mientras que la energía de la termogénesis o</w:t>
      </w:r>
      <w:r>
        <w:t xml:space="preserve"> </w:t>
      </w:r>
      <w:r>
        <w:t xml:space="preserve">ADE es de 121 kcal que corresponde al 10% del metabolismo basal.</w:t>
      </w:r>
    </w:p>
    <w:p>
      <w:pPr>
        <w:pStyle w:val="BodyText"/>
      </w:pPr>
      <w:r>
        <w:t xml:space="preserve">Así tendremos una paciente con un gasto energético total de 1694 kcal.</w:t>
      </w:r>
    </w:p>
    <w:p>
      <w:pPr>
        <w:pStyle w:val="BodyText"/>
      </w:pPr>
      <w:r>
        <w:t xml:space="preserve">Para el cálculo de proteínas que voy a darle utilizo un índice de masa</w:t>
      </w:r>
      <w:r>
        <w:t xml:space="preserve"> </w:t>
      </w:r>
      <w:r>
        <w:t xml:space="preserve">corporal de 29, inferior al de 33 que es el que tiene, lo que da como</w:t>
      </w:r>
      <w:r>
        <w:t xml:space="preserve"> </w:t>
      </w:r>
      <w:r>
        <w:t xml:space="preserve">resultado un “peso ideal” de 71,5 kg. La cantidad de proteína que le</w:t>
      </w:r>
      <w:r>
        <w:t xml:space="preserve"> </w:t>
      </w:r>
      <w:r>
        <w:t xml:space="preserve">daré será de n 1,2 gr por kg y día (supondrá un total de ....) para</w:t>
      </w:r>
      <w:r>
        <w:t xml:space="preserve"> </w:t>
      </w:r>
      <w:r>
        <w:t xml:space="preserve">saciarla y que ayude a la formación de masa muscular.</w:t>
      </w:r>
    </w:p>
    <w:p>
      <w:pPr>
        <w:pStyle w:val="BodyText"/>
      </w:pPr>
      <w:r>
        <w:t xml:space="preserve">Para el cálculo de los lípidos tomaré como porcentaje el 25% del total</w:t>
      </w:r>
      <w:r>
        <w:t xml:space="preserve"> </w:t>
      </w:r>
      <w:r>
        <w:t xml:space="preserve">de la dieta a ingerir debido a que estamos ante un paciente con</w:t>
      </w:r>
      <w:r>
        <w:t xml:space="preserve"> </w:t>
      </w:r>
      <w:r>
        <w:t xml:space="preserve">patologías lipídicas.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4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4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4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4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4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4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4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4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5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5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5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5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5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5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5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5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5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e542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9481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dd52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2022-04-01T18:24:17Z</dcterms:created>
  <dcterms:modified xsi:type="dcterms:W3CDTF">2022-04-01T18:24:17Z</dcterms:modified>
</cp:coreProperties>
</file>