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.-características.">
        <w:r>
          <w:rPr>
            <w:rStyle w:val="Hyperlink"/>
          </w:rPr>
          <w:t xml:space="preserve">3.2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insulina.</w:t>
        </w:r>
      </w:hyperlink>
      <w:r>
        <w:br w:type="textWrapping"/>
      </w:r>
      <w:r>
        <w:t xml:space="preserve">    </w:t>
      </w:r>
      <w:r>
        <w:rPr>
          <w:i/>
        </w:rPr>
        <w:t xml:space="preserve">Diabetes mellitus tipo II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r:id="rId24">
        <w:r>
          <w:rPr>
            <w:rStyle w:val="Hyperlink"/>
          </w:rPr>
          <w:t xml:space="preserve">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FirstParagraph"/>
      </w:pPr>
    </w:p>
    <w:p>
      <w:pPr>
        <w:pStyle w:val="Heading1"/>
      </w:pPr>
      <w:bookmarkStart w:id="25" w:name="indice-tablas"/>
      <w:bookmarkEnd w:id="25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  <w:r>
        <w:br w:type="textWrapping"/>
      </w:r>
      <w:hyperlink w:anchor="criterios-de-síndrome-metabólico-en-la-infancia-y-adolescencia-de-la-international-diabetes-federation">
        <w:r>
          <w:rPr>
            <w:rStyle w:val="Hyperlink"/>
          </w:rPr>
          <w:t xml:space="preserve">Criterios de síndrome metabólico en la infancia y adolescencia de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br w:type="textWrapping"/>
      </w: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BodyText"/>
      </w:pPr>
    </w:p>
    <w:p>
      <w:pPr>
        <w:pStyle w:val="Heading1"/>
      </w:pPr>
      <w:bookmarkStart w:id="26" w:name="introducción"/>
      <w:bookmarkEnd w:id="26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7" w:name="objetivos"/>
      <w:bookmarkEnd w:id="27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</w:t>
      </w:r>
      <w:r>
        <w:t xml:space="preserve"> </w:t>
      </w:r>
      <w:r>
        <w:t xml:space="preserve">la aparición de las alteraciones de salud que lo componen.</w:t>
      </w:r>
    </w:p>
    <w:p>
      <w:pPr>
        <w:pStyle w:val="BodyText"/>
      </w:pPr>
    </w:p>
    <w:p>
      <w:pPr>
        <w:pStyle w:val="Heading1"/>
      </w:pPr>
      <w:bookmarkStart w:id="28" w:name="el-síndrome-metabólico-1"/>
      <w:bookmarkEnd w:id="28"/>
      <w:r>
        <w:t xml:space="preserve">3. El Síndrome metabólico</w:t>
      </w:r>
    </w:p>
    <w:p>
      <w:pPr>
        <w:pStyle w:val="Heading2"/>
      </w:pPr>
      <w:bookmarkStart w:id="29" w:name="que-es"/>
      <w:bookmarkEnd w:id="29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4"/>
      </w:pPr>
      <w:bookmarkStart w:id="30" w:name="oms"/>
      <w:bookmarkEnd w:id="30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2" w:name="atp-iii"/>
      <w:bookmarkEnd w:id="32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3" w:name="asociación-americana-de-endocrinólogos-clínicos"/>
      <w:bookmarkEnd w:id="33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4" w:name="federación-internacional-de-diabetes"/>
      <w:bookmarkEnd w:id="34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8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35" w:name="diagnóstico-del-sm"/>
      <w:bookmarkEnd w:id="35"/>
      <w:r>
        <w:t xml:space="preserve">3.2.1 Diagnóstico del SM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0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0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0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3"/>
      </w:pPr>
      <w:bookmarkStart w:id="36" w:name="factores-de-riesgo-como-criterios-de-diagnóstico."/>
      <w:bookmarkEnd w:id="36"/>
      <w:r>
        <w:t xml:space="preserve">Factores de riesgo como criterios de diagnóstico.</w:t>
      </w:r>
    </w:p>
    <w:p>
      <w:pPr>
        <w:pStyle w:val="Heading4"/>
      </w:pPr>
      <w:bookmarkStart w:id="37" w:name="obesidad.-perímetro-de-cintura-elevado."/>
      <w:bookmarkEnd w:id="37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1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1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2"/>
          <w:ilvl w:val="1"/>
        </w:numPr>
      </w:pPr>
      <w:r>
        <w:t xml:space="preserve">Grasa subcutánea</w:t>
      </w:r>
    </w:p>
    <w:p>
      <w:pPr>
        <w:pStyle w:val="Compact"/>
        <w:numPr>
          <w:numId w:val="1012"/>
          <w:ilvl w:val="1"/>
        </w:numPr>
      </w:pPr>
      <w:r>
        <w:t xml:space="preserve">Grasa interna</w:t>
      </w:r>
    </w:p>
    <w:p>
      <w:pPr>
        <w:pStyle w:val="Compact"/>
        <w:numPr>
          <w:numId w:val="1013"/>
          <w:ilvl w:val="2"/>
        </w:numPr>
      </w:pPr>
      <w:r>
        <w:t xml:space="preserve">Visceral</w:t>
      </w:r>
    </w:p>
    <w:p>
      <w:pPr>
        <w:pStyle w:val="Compact"/>
        <w:numPr>
          <w:numId w:val="1013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8" w:name="resistencia-a-la-insulina.-diabetes-mellitus-tipo-ii"/>
      <w:bookmarkEnd w:id="38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4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4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4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4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4"/>
          <w:ilvl w:val="0"/>
        </w:numPr>
      </w:pPr>
      <w:r>
        <w:t xml:space="preserve">Eleva la presión arterial.</w:t>
      </w:r>
    </w:p>
    <w:p>
      <w:pPr>
        <w:pStyle w:val="Compact"/>
        <w:numPr>
          <w:numId w:val="1014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5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5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5"/>
          <w:ilvl w:val="0"/>
        </w:numPr>
      </w:pPr>
      <w:r>
        <w:t xml:space="preserve">Dislipidemias.</w:t>
      </w:r>
    </w:p>
    <w:p>
      <w:pPr>
        <w:pStyle w:val="Compact"/>
        <w:numPr>
          <w:numId w:val="1015"/>
          <w:ilvl w:val="0"/>
        </w:numPr>
      </w:pPr>
      <w:r>
        <w:t xml:space="preserve">Hipertensión arterial.</w:t>
      </w:r>
    </w:p>
    <w:p>
      <w:pPr>
        <w:pStyle w:val="Compact"/>
        <w:numPr>
          <w:numId w:val="1015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86.363636363636"/>
        <w:tblLook w:firstRow="1"/>
      </w:tblPr>
      <w:tblGrid>
        <w:gridCol w:w="621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 y es</w:t>
      </w:r>
      <w:r>
        <w:t xml:space="preserve"> </w:t>
      </w:r>
      <w:r>
        <w:t xml:space="preserve">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9" w:name="dislipemias"/>
      <w:bookmarkEnd w:id="39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18"/>
          <w:ilvl w:val="0"/>
        </w:numPr>
      </w:pPr>
      <w:r>
        <w:rPr>
          <w:b/>
        </w:rPr>
        <w:t xml:space="preserve">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Transporte reverso del colesterol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Regulación del metabolismo de la glucosa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Son varias las causas que afectan a los niveles de colesterol.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</w:p>
    <w:p>
      <w:pPr>
        <w:pStyle w:val="BodyText"/>
      </w:pPr>
      <w:r>
        <w:t xml:space="preserve">Causas que no se pueden cambiar:</w:t>
      </w:r>
    </w:p>
    <w:p>
      <w:pPr>
        <w:numPr>
          <w:numId w:val="1019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19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  <w:r>
        <w:t xml:space="preserve">Causas que se pueden cambiar:</w:t>
      </w:r>
    </w:p>
    <w:p>
      <w:pPr>
        <w:numPr>
          <w:numId w:val="1020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Con efecto negativo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Con efecto positivo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monoinsaturados</w:t>
      </w:r>
      <w:r>
        <w:t xml:space="preserve">: poseen un efecto beneficioso</w:t>
      </w:r>
      <w:r>
        <w:t xml:space="preserve"> </w:t>
      </w:r>
      <w:r>
        <w:t xml:space="preserve">para nuestro organismo ya que un consumo prolongado de estos</w:t>
      </w:r>
      <w:r>
        <w:t xml:space="preserve"> </w:t>
      </w:r>
      <w:r>
        <w:t xml:space="preserve">produce un aumento del colesterol HDL (“colesterol bueno”) y una</w:t>
      </w:r>
      <w:r>
        <w:t xml:space="preserve"> </w:t>
      </w:r>
      <w:r>
        <w:t xml:space="preserve">disminución del colesterol LDL (“colesterol malo”), que se</w:t>
      </w:r>
      <w:r>
        <w:t xml:space="preserve"> </w:t>
      </w:r>
      <w:r>
        <w:t xml:space="preserve">asocia a un menor riesgo de desarrollar enfermedades</w:t>
      </w:r>
      <w:r>
        <w:t xml:space="preserve"> </w:t>
      </w:r>
      <w:r>
        <w:t xml:space="preserve">cardiovasculares. Están presentes en alimentos como el aceite de</w:t>
      </w:r>
      <w:r>
        <w:t xml:space="preserve"> </w:t>
      </w:r>
      <w:r>
        <w:t xml:space="preserve">oliva, el aguacate o los frutos secos.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</w:t>
      </w:r>
      <w:r>
        <w:rPr>
          <w:b/>
        </w:rPr>
        <w:t xml:space="preserve"> </w:t>
      </w:r>
      <w:r>
        <w:rPr>
          <w:b/>
        </w:rPr>
        <w:t xml:space="preserve">6</w:t>
      </w:r>
      <w:r>
        <w:t xml:space="preserve">. Resultan beneficiosos ya que una dieta rica en estos</w:t>
      </w:r>
      <w:r>
        <w:t xml:space="preserve"> </w:t>
      </w:r>
      <w:r>
        <w:t xml:space="preserve">produce una disminución del colesterol total y del colesterol</w:t>
      </w:r>
      <w:r>
        <w:t xml:space="preserve"> </w:t>
      </w:r>
      <w:r>
        <w:t xml:space="preserve">LDL. Están presentes en el pescado azul (omega 3) y en aceites</w:t>
      </w:r>
      <w:r>
        <w:t xml:space="preserve"> </w:t>
      </w:r>
      <w:r>
        <w:t xml:space="preserve">de semillas y frutos secos (omega 6).</w:t>
      </w:r>
    </w:p>
    <w:p>
      <w:pPr>
        <w:numPr>
          <w:numId w:val="1020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 La enfermedad ateroesclerótica incluye la</w:t>
      </w:r>
      <w:r>
        <w:t xml:space="preserve"> </w:t>
      </w:r>
      <w:r>
        <w:t xml:space="preserve">enfermedad coronaria (angina e infarto de miocardio), cerebrovascular</w:t>
      </w:r>
      <w:r>
        <w:t xml:space="preserve"> </w:t>
      </w:r>
      <w:r>
        <w:t xml:space="preserve">(infarto cerebral o ictus) y la enfermedad arterial periférica</w:t>
      </w:r>
      <w:r>
        <w:t xml:space="preserve"> </w:t>
      </w:r>
      <w:r>
        <w:t xml:space="preserve">(claudicación o dolor en las piernas). El colesterol elevado es uno de</w:t>
      </w:r>
      <w:r>
        <w:t xml:space="preserve"> </w:t>
      </w:r>
      <w:r>
        <w:t xml:space="preserve">los principales factores de riesgo cardiovascular, junto con el tabaco,</w:t>
      </w:r>
      <w:r>
        <w:t xml:space="preserve"> </w:t>
      </w:r>
      <w:r>
        <w:t xml:space="preserve">la hipertensión arterial y la 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rPr>
          <w:b/>
        </w:rPr>
        <w:t xml:space="preserve">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se producen en el intestino y en el hígado y se transportan a los</w:t>
      </w:r>
      <w:r>
        <w:t xml:space="preserve"> </w:t>
      </w:r>
      <w:r>
        <w:t xml:space="preserve">tejidos donde se utilizan como una reserva de energía para cubrir las</w:t>
      </w:r>
      <w:r>
        <w:t xml:space="preserve"> </w:t>
      </w:r>
      <w:r>
        <w:t xml:space="preserve">necesidades metabólicas de los músculos y el 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3"/>
          <w:ilvl w:val="0"/>
        </w:numPr>
      </w:pPr>
      <w:r>
        <w:t xml:space="preserve">Sobrepeso / obesidad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Exceso de alcohol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Tabaquismo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Inactividad física</w:t>
      </w:r>
      <w:r>
        <w:br w:type="textWrapping"/>
      </w:r>
    </w:p>
    <w:p>
      <w:pPr>
        <w:pStyle w:val="Compact"/>
        <w:numPr>
          <w:numId w:val="1023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3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4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4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4"/>
          <w:ilvl w:val="0"/>
        </w:numPr>
      </w:pPr>
      <w:r>
        <w:t xml:space="preserve">Disbetalipoproteinemia</w:t>
      </w:r>
    </w:p>
    <w:p>
      <w:pPr>
        <w:pStyle w:val="Compact"/>
        <w:numPr>
          <w:numId w:val="1024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40" w:name="hipertensión-arterial"/>
      <w:bookmarkEnd w:id="40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rPr>
          <w:b/>
        </w:rPr>
        <w:t xml:space="preserve">La HTA en adultos se define como cifras de presión arterial sistólica</w:t>
      </w:r>
      <w:r>
        <w:rPr>
          <w:b/>
        </w:rPr>
        <w:t xml:space="preserve"> </w:t>
      </w:r>
      <w:r>
        <w:rPr>
          <w:b/>
        </w:rPr>
        <w:t xml:space="preserve">y 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rPr>
          <w:b/>
        </w:rP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5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5"/>
          <w:ilvl w:val="0"/>
        </w:numPr>
      </w:pPr>
      <w:r>
        <w:t xml:space="preserve">Enfermedad renal</w:t>
      </w:r>
    </w:p>
    <w:p>
      <w:pPr>
        <w:pStyle w:val="Compact"/>
        <w:numPr>
          <w:numId w:val="1025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5"/>
          <w:ilvl w:val="0"/>
        </w:numPr>
      </w:pPr>
      <w:r>
        <w:t xml:space="preserve">Problemas de tiroides</w:t>
      </w:r>
    </w:p>
    <w:p>
      <w:pPr>
        <w:pStyle w:val="Compact"/>
        <w:numPr>
          <w:numId w:val="1025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5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5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1" w:name="desarrollo-fisiopatológico-del-sm"/>
      <w:bookmarkEnd w:id="41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2" w:name="patologías-relacionadas"/>
      <w:bookmarkEnd w:id="42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6"/>
          <w:ilvl w:val="0"/>
        </w:numPr>
      </w:pPr>
      <w:r>
        <w:t xml:space="preserve">Cáncer colorrectal</w:t>
      </w:r>
    </w:p>
    <w:p>
      <w:pPr>
        <w:pStyle w:val="Compact"/>
        <w:numPr>
          <w:numId w:val="1026"/>
          <w:ilvl w:val="0"/>
        </w:numPr>
      </w:pPr>
      <w:r>
        <w:t xml:space="preserve">Cáncer de mama</w:t>
      </w:r>
    </w:p>
    <w:p>
      <w:pPr>
        <w:pStyle w:val="Compact"/>
        <w:numPr>
          <w:numId w:val="1026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27"/>
          <w:ilvl w:val="0"/>
        </w:numPr>
      </w:pPr>
      <w:r>
        <w:t xml:space="preserve">Esteatosis hepática,</w:t>
      </w:r>
    </w:p>
    <w:p>
      <w:pPr>
        <w:pStyle w:val="Compact"/>
        <w:numPr>
          <w:numId w:val="1027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27"/>
          <w:ilvl w:val="0"/>
        </w:numPr>
      </w:pPr>
      <w:r>
        <w:t xml:space="preserve">Enfermedad renal crónica,</w:t>
      </w:r>
    </w:p>
    <w:p>
      <w:pPr>
        <w:pStyle w:val="Compact"/>
        <w:numPr>
          <w:numId w:val="1027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27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3" w:name="por-grupos-de-población"/>
      <w:bookmarkEnd w:id="43"/>
      <w:r>
        <w:t xml:space="preserve">3.2.3 Por grupos de población</w:t>
      </w:r>
    </w:p>
    <w:p>
      <w:pPr>
        <w:pStyle w:val="Heading4"/>
      </w:pPr>
      <w:bookmarkStart w:id="44" w:name="sm-en-el-adulto"/>
      <w:bookmarkEnd w:id="44"/>
      <w:r>
        <w:t xml:space="preserve">3.2.3.1 SM en el adulto</w:t>
      </w:r>
    </w:p>
    <w:p>
      <w:pPr>
        <w:pStyle w:val="Heading5"/>
      </w:pPr>
      <w:bookmarkStart w:id="45" w:name="sm-en-el-hombre"/>
      <w:bookmarkEnd w:id="45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BodyText"/>
      </w:pPr>
    </w:p>
    <w:p>
      <w:pPr>
        <w:pStyle w:val="Heading5"/>
      </w:pPr>
      <w:bookmarkStart w:id="46" w:name="sm-en-la-mujer"/>
      <w:bookmarkEnd w:id="46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28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28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28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6"/>
      </w:pPr>
      <w:bookmarkStart w:id="47" w:name="sm-en-el-embarazo"/>
      <w:bookmarkEnd w:id="47"/>
      <w:r>
        <w:t xml:space="preserve">SM en el embarazo</w:t>
      </w:r>
    </w:p>
    <w:p>
      <w:pPr>
        <w:pStyle w:val="FirstParagraph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9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9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29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BodyText"/>
      </w:pPr>
    </w:p>
    <w:p>
      <w:pPr>
        <w:pStyle w:val="Heading4"/>
      </w:pPr>
      <w:bookmarkStart w:id="48" w:name="sm-en-la-infancia"/>
      <w:bookmarkEnd w:id="48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i/>
        </w:rPr>
        <w:t xml:space="preserve">El diagnóstico requiere la presencia de obesidad central mediante</w:t>
      </w:r>
      <w:r>
        <w:rPr>
          <w:i/>
        </w:rPr>
        <w:t xml:space="preserve"> </w:t>
      </w:r>
      <w:r>
        <w:rPr>
          <w:i/>
        </w:rPr>
        <w:t xml:space="preserve">determinación de cintura abdominal y como mínimo dos de los criterios</w:t>
      </w:r>
      <w:r>
        <w:rPr>
          <w:i/>
        </w:rPr>
        <w:t xml:space="preserve"> </w:t>
      </w:r>
      <w:r>
        <w:rPr>
          <w:i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9" w:name="sm-en-la-tercera-edad"/>
      <w:bookmarkEnd w:id="49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0"/>
          <w:ilvl w:val="0"/>
        </w:numPr>
      </w:pPr>
      <w:r>
        <w:t xml:space="preserve">Un mayor estrés oxidativo.</w:t>
      </w:r>
    </w:p>
    <w:p>
      <w:pPr>
        <w:pStyle w:val="Compact"/>
        <w:numPr>
          <w:numId w:val="1030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0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0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0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50" w:name="tratamiento-y-prevención"/>
      <w:bookmarkEnd w:id="50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51" w:name="relación-con-la-alimentación"/>
      <w:bookmarkEnd w:id="51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1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FirstParagraph"/>
      </w:pPr>
      <w:r>
        <w:rPr>
          <w:b/>
        </w:rPr>
        <w:t xml:space="preserve">-Eliminar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Heading3"/>
      </w:pPr>
      <w:bookmarkStart w:id="52" w:name="hábitos-de-vida"/>
      <w:bookmarkEnd w:id="52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2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3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3" w:name="material-y-métodos"/>
      <w:bookmarkEnd w:id="53"/>
      <w:r>
        <w:t xml:space="preserve">4. 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2"/>
      </w:pPr>
      <w:bookmarkStart w:id="54" w:name="creación-empresa"/>
      <w:bookmarkEnd w:id="54"/>
      <w:r>
        <w:t xml:space="preserve">Creación empresa</w:t>
      </w:r>
    </w:p>
    <w:p>
      <w:pPr>
        <w:pStyle w:val="FirstParagraph"/>
      </w:pPr>
    </w:p>
    <w:p>
      <w:pPr>
        <w:pStyle w:val="Heading1"/>
      </w:pPr>
      <w:bookmarkStart w:id="55" w:name="resultados"/>
      <w:bookmarkEnd w:id="55"/>
      <w:r>
        <w:t xml:space="preserve">5. 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BodyText"/>
      </w:pPr>
    </w:p>
    <w:p>
      <w:pPr>
        <w:pStyle w:val="Heading1"/>
      </w:pPr>
      <w:bookmarkStart w:id="56" w:name="discusión"/>
      <w:bookmarkEnd w:id="56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La pregunta que cabe es si el SM es más que la suma de las partes.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sobre cuáles deben constituirse dentro, y además parece que los</w:t>
      </w:r>
      <w:r>
        <w:t xml:space="preserve"> </w:t>
      </w:r>
      <w:r>
        <w:t xml:space="preserve">diferentes grupos de estudio quisieran agregar un nuevo factor de</w:t>
      </w:r>
      <w:r>
        <w:t xml:space="preserve"> </w:t>
      </w:r>
      <w:r>
        <w:t xml:space="preserve">riesgo.</w:t>
      </w:r>
    </w:p>
    <w:p>
      <w:pPr>
        <w:pStyle w:val="BodyText"/>
      </w:pPr>
      <w:r>
        <w:t xml:space="preserve">Se ha demostrado que la prevalencia del SM varía de acuerdo a la guía</w:t>
      </w:r>
      <w:r>
        <w:t xml:space="preserve"> </w:t>
      </w:r>
      <w:r>
        <w:t xml:space="preserve">que se utilice, en consecuencia, no se llega a conocer la real magnitud</w:t>
      </w:r>
      <w:r>
        <w:t xml:space="preserve"> </w:t>
      </w:r>
      <w:r>
        <w:t xml:space="preserve">del problema. Por ejemplo, la concepción original de Reaven considera a</w:t>
      </w:r>
      <w:r>
        <w:t xml:space="preserve"> </w:t>
      </w:r>
      <w:r>
        <w:t xml:space="preserve">la RI como el factor inicial y fundamental del denominado síndrome X;</w:t>
      </w:r>
      <w:r>
        <w:t xml:space="preserve"> </w:t>
      </w:r>
      <w:r>
        <w:t xml:space="preserve">sin embargo, sólo la OMS y el grupo de estudio EGIR lo toman en cuenta.</w:t>
      </w:r>
      <w:r>
        <w:t xml:space="preserve"> </w:t>
      </w:r>
      <w:r>
        <w:t xml:space="preserve">Los investigadores deben considerar que, si utilizan varias guías en el</w:t>
      </w:r>
      <w:r>
        <w:t xml:space="preserve"> </w:t>
      </w:r>
      <w:r>
        <w:t xml:space="preserve">mismo estudio para medir la prevalencia del SM, se obtendrán resultados</w:t>
      </w:r>
      <w:r>
        <w:t xml:space="preserve"> </w:t>
      </w:r>
      <w:r>
        <w:t xml:space="preserve">diferentes, lo que puede impactar en las conclusiones que puedan</w:t>
      </w:r>
      <w:r>
        <w:t xml:space="preserve"> </w:t>
      </w:r>
      <w:r>
        <w:t xml:space="preserve">obtener.</w:t>
      </w:r>
    </w:p>
    <w:p>
      <w:pPr>
        <w:pStyle w:val="BodyText"/>
      </w:pPr>
      <w:r>
        <w:t xml:space="preserve">Otra situación que se plantea, además de los diferentes criterios</w:t>
      </w:r>
      <w:r>
        <w:t xml:space="preserve"> </w:t>
      </w:r>
      <w:r>
        <w:t xml:space="preserve">elegidos para su diagnóstico, es que no se hace referencia a la</w:t>
      </w:r>
      <w:r>
        <w:t xml:space="preserve"> </w:t>
      </w:r>
      <w:r>
        <w:t xml:space="preserve">importancia que pueden tener las diferentes patologías que lo forman.</w:t>
      </w:r>
    </w:p>
    <w:p>
      <w:pPr>
        <w:pStyle w:val="BodyText"/>
      </w:pPr>
      <w:r>
        <w:t xml:space="preserve">Tampoco se contempla la importancia de tener unos factores de riesgo con</w:t>
      </w:r>
      <w:r>
        <w:t xml:space="preserve"> </w:t>
      </w:r>
      <w:r>
        <w:t xml:space="preserve">respecto a otros, ni la importancia de tener tres, cuatro o cinco.</w:t>
      </w:r>
    </w:p>
    <w:p>
      <w:pPr>
        <w:pStyle w:val="BodyText"/>
      </w:pPr>
      <w:r>
        <w:t xml:space="preserve">Por poner unos ejemplos:</w:t>
      </w:r>
    </w:p>
    <w:p>
      <w:pPr>
        <w:pStyle w:val="BodyText"/>
      </w:pPr>
      <w:r>
        <w:t xml:space="preserve">¿Tiene el mismo riesgo un individuo que tiene los diferentes parámetros</w:t>
      </w:r>
      <w:r>
        <w:t xml:space="preserve"> </w:t>
      </w:r>
      <w:r>
        <w:t xml:space="preserve">muy alterados que otro que se encuentra apenas por encima de los</w:t>
      </w:r>
      <w:r>
        <w:t xml:space="preserve"> </w:t>
      </w:r>
      <w:r>
        <w:t xml:space="preserve">criterios de corte?</w:t>
      </w:r>
    </w:p>
    <w:p>
      <w:pPr>
        <w:pStyle w:val="BodyText"/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BodyText"/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BodyText"/>
      </w:pPr>
      <w:r>
        <w:t xml:space="preserve">Dos pacientes diferentes con el mismo número de factores de riesgo, pero</w:t>
      </w:r>
      <w:r>
        <w:t xml:space="preserve"> </w:t>
      </w:r>
      <w:r>
        <w:t xml:space="preserve">diferentes, ¿estarán expuestos al mismo riesgo?</w:t>
      </w:r>
    </w:p>
    <w:p>
      <w:pPr>
        <w:pStyle w:val="BodyText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57" w:name="conclusión"/>
      <w:bookmarkEnd w:id="57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origina principalmente por un desequilibrio en la ingesta de calorías y</w:t>
      </w:r>
      <w:r>
        <w:t xml:space="preserve"> </w:t>
      </w:r>
      <w:r>
        <w:t xml:space="preserve">el gasto energético, pero también se ve afectado por la composición</w:t>
      </w:r>
      <w:r>
        <w:t xml:space="preserve"> </w:t>
      </w:r>
      <w:r>
        <w:t xml:space="preserve">genética/epigenética del individuo, el predominio del estilo de vida</w:t>
      </w:r>
      <w:r>
        <w:t xml:space="preserve"> </w:t>
      </w:r>
      <w:r>
        <w:t xml:space="preserve">sedentario sobre la actividad física y otros factores como la microbiota</w:t>
      </w:r>
      <w:r>
        <w:t xml:space="preserve"> </w:t>
      </w:r>
      <w:r>
        <w:t xml:space="preserve">intestinal y la calidad y composición de los alimentos. No se puede</w:t>
      </w:r>
      <w:r>
        <w:t xml:space="preserve"> </w:t>
      </w:r>
      <w:r>
        <w:t xml:space="preserve">prescribir un solo remedio para su erradicación o incluso su reducción.</w:t>
      </w:r>
      <w:r>
        <w:t xml:space="preserve"> </w:t>
      </w:r>
      <w:r>
        <w:t xml:space="preserve">Al igual que en el control de otras epidemias, será muy importante la</w:t>
      </w:r>
      <w:r>
        <w:t xml:space="preserve"> </w:t>
      </w:r>
      <w:r>
        <w:t xml:space="preserve">educación de la población sobre el peligro para la salud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 Por lo tanto, en los</w:t>
      </w:r>
      <w:r>
        <w:t xml:space="preserve"> </w:t>
      </w:r>
      <w:r>
        <w:t xml:space="preserve">países pobres el riesgo de desarrollar obesidad es menor que el de</w:t>
      </w:r>
      <w:r>
        <w:t xml:space="preserve"> </w:t>
      </w:r>
      <w:r>
        <w:t xml:space="preserve">padecer desnutrición. Es decir, que una persona pobre en un país pobre</w:t>
      </w:r>
      <w:r>
        <w:t xml:space="preserve"> </w:t>
      </w:r>
      <w:r>
        <w:t xml:space="preserve">sufre escasez de alimentos sumado a un incremento en el gasto energético</w:t>
      </w:r>
      <w:r>
        <w:t xml:space="preserve"> </w:t>
      </w:r>
      <w:r>
        <w:t xml:space="preserve">relacionado con el trabajo manual; en cambio, una persona pobre en un</w:t>
      </w:r>
      <w:r>
        <w:t xml:space="preserve"> </w:t>
      </w:r>
      <w:r>
        <w:t xml:space="preserve">país de ingresos medios se expone a una abundancia de alimentos de mala</w:t>
      </w:r>
      <w:r>
        <w:t xml:space="preserve"> </w:t>
      </w:r>
      <w:r>
        <w:t xml:space="preserve">calidad nutricional que además son económicos y fácilmente accesibles en</w:t>
      </w:r>
      <w:r>
        <w:t xml:space="preserve"> </w:t>
      </w:r>
      <w:r>
        <w:t xml:space="preserve">mercados callejeros de grandes urbes, con el gasto energético menor en</w:t>
      </w:r>
      <w:r>
        <w:t xml:space="preserve"> </w:t>
      </w:r>
      <w:r>
        <w:t xml:space="preserve">sus tareas laborales. En contraste, los individuos de mayores ingresos</w:t>
      </w:r>
      <w:r>
        <w:t xml:space="preserve"> </w:t>
      </w:r>
      <w:r>
        <w:t xml:space="preserve">económicos que habitan en países de ingresos medios tienen mejor</w:t>
      </w:r>
      <w:r>
        <w:t xml:space="preserve"> </w:t>
      </w:r>
      <w:r>
        <w:t xml:space="preserve">educación, cobertura de salud, mayor acceso a alimentos de mejor calidad</w:t>
      </w:r>
      <w:r>
        <w:t xml:space="preserve"> </w:t>
      </w:r>
      <w:r>
        <w:t xml:space="preserve">y más tiempo libre para dedicarle a la actividad física. Por ello son en</w:t>
      </w:r>
      <w:r>
        <w:t xml:space="preserve"> </w:t>
      </w:r>
      <w:r>
        <w:t xml:space="preserve">promedio más delgados y metabólicamente más sanos.</w:t>
      </w:r>
    </w:p>
    <w:p>
      <w:pPr>
        <w:pStyle w:val="BodyText"/>
      </w:pPr>
      <w:r>
        <w:t xml:space="preserve">Los factores de riesgo (a excepción del tabaquismo) era más elevado en</w:t>
      </w:r>
      <w:r>
        <w:t xml:space="preserve"> </w:t>
      </w:r>
      <w:r>
        <w:t xml:space="preserve">aquellas personas con menores ingresos económicos y en los que tenían un</w:t>
      </w:r>
      <w:r>
        <w:t xml:space="preserve"> </w:t>
      </w:r>
      <w:r>
        <w:t xml:space="preserve">nivel educativo más bajo.</w:t>
      </w:r>
    </w:p>
    <w:p>
      <w:pPr>
        <w:pStyle w:val="BodyText"/>
      </w:pPr>
      <w:r>
        <w:t xml:space="preserve">Durante las últimas décadas, la sociedad ha experimentado cambios</w:t>
      </w:r>
      <w:r>
        <w:t xml:space="preserve"> </w:t>
      </w:r>
      <w:r>
        <w:t xml:space="preserve">drásticos que han afectado al comportamiento y estilo de vida del ser</w:t>
      </w:r>
      <w:r>
        <w:t xml:space="preserve"> </w:t>
      </w:r>
      <w:r>
        <w:t xml:space="preserve">humano. La mecanización en los puestos de trabajo, la globalización de</w:t>
      </w:r>
      <w:r>
        <w:t xml:space="preserve"> </w:t>
      </w:r>
      <w:r>
        <w:t xml:space="preserve">la tecnología, la falta de tiempo y las mejoras en el transporte, son</w:t>
      </w:r>
      <w:r>
        <w:t xml:space="preserve"> </w:t>
      </w:r>
      <w:r>
        <w:t xml:space="preserve">algunos de los aspectos que han llevado a un aumento en el consumo de</w:t>
      </w:r>
      <w:r>
        <w:t xml:space="preserve"> </w:t>
      </w:r>
      <w:r>
        <w:t xml:space="preserve">comida rápida con un elevado aporte calórico y al sedentarismo. Estas</w:t>
      </w:r>
      <w:r>
        <w:t xml:space="preserve"> </w:t>
      </w:r>
      <w:r>
        <w:t xml:space="preserve">circunstancias y coyunturas, han contribuido enormemente a que la</w:t>
      </w:r>
      <w:r>
        <w:t xml:space="preserve"> </w:t>
      </w:r>
      <w:r>
        <w:t xml:space="preserve">obesidad sea considerada una pandemia. Este hecho no solo es un problema</w:t>
      </w:r>
      <w:r>
        <w:t xml:space="preserve"> </w:t>
      </w:r>
      <w:r>
        <w:t xml:space="preserve">de los países industrializados, sino que también la obesidad va</w:t>
      </w:r>
      <w:r>
        <w:t xml:space="preserve"> </w:t>
      </w:r>
      <w:r>
        <w:t xml:space="preserve">aumentando notablemente en los países en transición, ya que estos países</w:t>
      </w:r>
      <w:r>
        <w:t xml:space="preserve"> </w:t>
      </w:r>
      <w:r>
        <w:t xml:space="preserve">están adquiriendo estilos de vida cada vez más parecidos a los</w:t>
      </w:r>
      <w:r>
        <w:t xml:space="preserve"> </w:t>
      </w:r>
      <w:r>
        <w:t xml:space="preserve">occidentales, disminuyendo la actividad física y teniendo un consumo</w:t>
      </w:r>
      <w:r>
        <w:t xml:space="preserve"> </w:t>
      </w:r>
      <w:r>
        <w:t xml:space="preserve">elevado de alimentos con alta densidad energética1.</w:t>
      </w:r>
    </w:p>
    <w:p>
      <w:pPr>
        <w:pStyle w:val="BodyText"/>
      </w:pPr>
    </w:p>
    <w:p>
      <w:pPr>
        <w:pStyle w:val="Heading1"/>
      </w:pPr>
      <w:bookmarkStart w:id="58" w:name="bibliografía"/>
      <w:bookmarkEnd w:id="58"/>
      <w:r>
        <w:t xml:space="preserve">Bibliografía</w:t>
      </w:r>
    </w:p>
    <w:p>
      <w:pPr>
        <w:pStyle w:val="Compact"/>
        <w:numPr>
          <w:numId w:val="1034"/>
          <w:ilvl w:val="0"/>
        </w:numPr>
      </w:pPr>
      <w:hyperlink r:id="rId59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34"/>
          <w:ilvl w:val="0"/>
        </w:numPr>
      </w:pPr>
      <w:hyperlink r:id="rId60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34"/>
          <w:ilvl w:val="0"/>
        </w:numPr>
      </w:pPr>
      <w:hyperlink r:id="rId61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34"/>
          <w:ilvl w:val="0"/>
        </w:numPr>
      </w:pPr>
      <w:hyperlink r:id="rId62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34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34"/>
          <w:ilvl w:val="0"/>
        </w:numPr>
      </w:pPr>
      <w:hyperlink r:id="rId64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34"/>
          <w:ilvl w:val="0"/>
        </w:numPr>
      </w:pPr>
      <w:hyperlink r:id="rId6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34"/>
          <w:ilvl w:val="0"/>
        </w:numPr>
      </w:pPr>
      <w:hyperlink r:id="rId66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35"/>
          <w:ilvl w:val="0"/>
        </w:numPr>
      </w:pPr>
      <w:hyperlink r:id="rId67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35"/>
          <w:ilvl w:val="0"/>
        </w:numPr>
      </w:pPr>
      <w:hyperlink r:id="rId68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35"/>
          <w:ilvl w:val="0"/>
        </w:numPr>
      </w:pPr>
      <w:hyperlink r:id="rId69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35"/>
          <w:ilvl w:val="0"/>
        </w:numPr>
      </w:pPr>
      <w:hyperlink r:id="rId7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35"/>
          <w:ilvl w:val="0"/>
        </w:numPr>
      </w:pPr>
      <w:hyperlink r:id="rId71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35"/>
          <w:ilvl w:val="0"/>
        </w:numPr>
      </w:pPr>
      <w:hyperlink r:id="rId72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35"/>
          <w:ilvl w:val="0"/>
        </w:numPr>
      </w:pPr>
      <w:hyperlink r:id="rId73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35"/>
          <w:ilvl w:val="0"/>
        </w:numPr>
      </w:pPr>
      <w:hyperlink r:id="rId74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35"/>
          <w:ilvl w:val="0"/>
        </w:numPr>
      </w:pPr>
      <w:hyperlink r:id="rId75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35"/>
          <w:ilvl w:val="0"/>
        </w:numPr>
      </w:pPr>
      <w:hyperlink r:id="rId76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35"/>
          <w:ilvl w:val="0"/>
        </w:numPr>
      </w:pPr>
      <w:hyperlink r:id="rId7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35"/>
          <w:ilvl w:val="0"/>
        </w:numPr>
      </w:pPr>
      <w:hyperlink r:id="rId78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35"/>
          <w:ilvl w:val="0"/>
        </w:numPr>
      </w:pPr>
      <w:hyperlink r:id="rId79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35"/>
          <w:ilvl w:val="0"/>
        </w:numPr>
      </w:pPr>
      <w:hyperlink r:id="rId80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35"/>
          <w:ilvl w:val="0"/>
        </w:numPr>
      </w:pPr>
      <w:hyperlink r:id="rId81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2" w:name="anexos"/>
      <w:bookmarkEnd w:id="82"/>
      <w:r>
        <w:t xml:space="preserve">Anexos</w:t>
      </w:r>
    </w:p>
    <w:p>
      <w:pPr>
        <w:pStyle w:val="Heading2"/>
      </w:pPr>
      <w:bookmarkStart w:id="83" w:name="vocabulario"/>
      <w:bookmarkEnd w:id="83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4" w:name="abreviaturas"/>
      <w:bookmarkEnd w:id="84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85" w:name="tablas"/>
      <w:bookmarkEnd w:id="85"/>
      <w:r>
        <w:t xml:space="preserve">Tablas</w:t>
      </w:r>
    </w:p>
    <w:tbl>
      <w:tblPr>
        <w:tblStyle w:val="TableNormal"/>
        <w:tblW w:type="pct" w:w="4964.028776978417"/>
        <w:tblLook w:firstRow="1"/>
      </w:tblPr>
      <w:tblGrid>
        <w:gridCol w:w="2421"/>
        <w:gridCol w:w="1225"/>
        <w:gridCol w:w="1225"/>
        <w:gridCol w:w="299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Evolución histórica de los criterios del síndrome metabólico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  <w:r>
        <w:rPr>
          <w:b/>
        </w:rPr>
        <w:t xml:space="preserve">Descarte dislipemia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grasa.Lo hace en formas de lipoproteínas LDL, éstas</w:t>
      </w:r>
      <w:r>
        <w:t xml:space="preserve"> </w:t>
      </w:r>
      <w:r>
        <w:t xml:space="preserve">tienen la característica de que el colesterol que transportarse queda</w:t>
      </w:r>
      <w:r>
        <w:t xml:space="preserve"> </w:t>
      </w:r>
      <w:r>
        <w:t xml:space="preserve">adherido a las paredes de los vasos sanguíneos siendo recogidos para su</w:t>
      </w:r>
      <w:r>
        <w:t xml:space="preserve"> </w:t>
      </w:r>
      <w:r>
        <w:t xml:space="preserve">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f78a5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8f0e1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19470d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" TargetMode="External" /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3" Target="http://hdl.handle.net/2183/16548" TargetMode="External" /><Relationship Type="http://schemas.openxmlformats.org/officeDocument/2006/relationships/hyperlink" Id="rId65" Target="http://scielo.isciii.es/scielo.php?script=sci_arttext&amp;pid=S0212-16112017000500013&amp;lng=es&amp;nrm=iso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9" Target="http://scielo.sld.cu/scielo.php?script=sci_arttext&amp;pid=S1561-29532006000300006" TargetMode="External" /><Relationship Type="http://schemas.openxmlformats.org/officeDocument/2006/relationships/hyperlink" Id="rId64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6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3" Target="http://hdl.handle.net/2183/16548" TargetMode="External" /><Relationship Type="http://schemas.openxmlformats.org/officeDocument/2006/relationships/hyperlink" Id="rId65" Target="http://scielo.isciii.es/scielo.php?script=sci_arttext&amp;pid=S0212-16112017000500013&amp;lng=es&amp;nrm=iso" TargetMode="External" /><Relationship Type="http://schemas.openxmlformats.org/officeDocument/2006/relationships/hyperlink" Id="rId61" Target="http://scielo.isciii.es/scielo.php?script=sci_arttext&amp;pid=S1137-66272016000200009&amp;lng=es&amp;nrm=iso" TargetMode="External" /><Relationship Type="http://schemas.openxmlformats.org/officeDocument/2006/relationships/hyperlink" Id="rId59" Target="http://scielo.sld.cu/scielo.php?script=sci_arttext&amp;pid=S1561-29532006000300006" TargetMode="External" /><Relationship Type="http://schemas.openxmlformats.org/officeDocument/2006/relationships/hyperlink" Id="rId64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60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66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2022-02-25T17:50:09Z</dcterms:created>
  <dcterms:modified xsi:type="dcterms:W3CDTF">2022-02-25T17:50:09Z</dcterms:modified>
</cp:coreProperties>
</file>