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</w:t>
      </w:r>
    </w:p>
    <w:p>
      <w:pPr>
        <w:pStyle w:val="BodyText"/>
      </w:pPr>
      <w:r>
        <w:t xml:space="preserve">Finalmente se ha buscado un enfoque en el que,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ayude a detectar los factores de riesgo que pueden desembocar en</w:t>
      </w:r>
      <w:r>
        <w:t xml:space="preserve"> </w:t>
      </w:r>
      <w:r>
        <w:t xml:space="preserve">diabetes y enfermedades cardiovasculares. Así, desde el punto de vista</w:t>
      </w:r>
      <w:r>
        <w:t xml:space="preserve"> </w:t>
      </w:r>
      <w:r>
        <w:t xml:space="preserve">operativo, SM es el conjunto de alteraciones metabólicas y vasculares</w:t>
      </w:r>
      <w:r>
        <w:t xml:space="preserve"> </w:t>
      </w:r>
      <w:r>
        <w:t xml:space="preserve">que parten de la obesidad abdominal y la resistencia insulina, fenómenos</w:t>
      </w:r>
      <w:r>
        <w:t xml:space="preserve"> </w:t>
      </w:r>
      <w:r>
        <w:t xml:space="preserve">que a través de procesos inflamatorios, oxidativos y de disfunción</w:t>
      </w:r>
      <w:r>
        <w:t xml:space="preserve"> </w:t>
      </w:r>
      <w:r>
        <w:t xml:space="preserve">endotelial, predisponen a un mayor riesgo de diabetes y eventos</w:t>
      </w:r>
      <w:r>
        <w:t xml:space="preserve"> </w:t>
      </w:r>
      <w:r>
        <w:t xml:space="preserve">cardiovasculares.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4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 # Anexos</w:t>
      </w:r>
    </w:p>
    <w:p>
      <w:pPr>
        <w:pStyle w:val="Heading2"/>
      </w:pPr>
      <w:bookmarkStart w:id="41" w:name="abreviaturas"/>
      <w:bookmarkEnd w:id="4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926f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b703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2022-01-17T19:28:50Z</dcterms:created>
  <dcterms:modified xsi:type="dcterms:W3CDTF">2022-01-17T19:28:50Z</dcterms:modified>
</cp:coreProperties>
</file>