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"/>
      <w:bookmarkEnd w:id="35"/>
      <w:r>
        <w:t xml:space="preserve">Factores de riesgo como criterios de diagnóstico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0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abreviaturas"/>
      <w:bookmarkEnd w:id="9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0" w:name="glosario"/>
      <w:bookmarkEnd w:id="100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1" w:name="evolución-histórica-de-los-criterios-del-síndrome-metabólico"/>
      <w:bookmarkEnd w:id="101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2" w:name="díptico"/>
      <w:bookmarkEnd w:id="102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Heading2"/>
      </w:pPr>
      <w:bookmarkStart w:id="104" w:name="encuesta"/>
      <w:bookmarkEnd w:id="104"/>
      <w:r>
        <w:t xml:space="preserve">Encuesta</w:t>
      </w:r>
    </w:p>
    <w:p>
      <w:pPr>
        <w:pStyle w:val="Heading2"/>
      </w:pPr>
      <w:bookmarkStart w:id="105" w:name="síndrome-metabólico-en-españa-prevalencia-y-riesgo-coronario-asociado-a-la-definición-armonizada-y-a-la-propuesta-por-la-oms.-estudio-darios"/>
      <w:bookmarkEnd w:id="105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 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 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 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</w:t>
      </w:r>
      <w:r>
        <w:t xml:space="preserve"> </w:t>
      </w:r>
      <w:r>
        <w:t xml:space="preserve">abdominal y de cHDL 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</w:t>
      </w:r>
      <w:r>
        <w:t xml:space="preserve"> </w:t>
      </w:r>
      <w:r>
        <w:t xml:space="preserve">e hipertrigliceridemia 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 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fa43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ea7e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eef4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3" Target="media/rId103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2022-04-18T19:02:20Z</dcterms:created>
  <dcterms:modified xsi:type="dcterms:W3CDTF">2022-04-18T19:02:20Z</dcterms:modified>
</cp:coreProperties>
</file>