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 abdominal.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 insulina. Diabetes mellitus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tipo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criterios-de-diagnóstico-oms">
        <w:r>
          <w:rPr>
            <w:rStyle w:val="Hyperlink"/>
          </w:rPr>
          <w:t xml:space="preserve">Criterios de diagnóstico OMS</w:t>
        </w:r>
      </w:hyperlink>
      <w:r>
        <w:br w:type="textWrapping"/>
      </w:r>
      <w:hyperlink w:anchor="criterios-de-diagnóstico-egir">
        <w:r>
          <w:rPr>
            <w:rStyle w:val="Hyperlink"/>
          </w:rPr>
          <w:t xml:space="preserve">Criterios de diagnóstico EGIR</w:t>
        </w:r>
      </w:hyperlink>
      <w:r>
        <w:br w:type="textWrapping"/>
      </w:r>
      <w:hyperlink w:anchor="criterios-de-diagnóstico-atp-iii">
        <w:r>
          <w:rPr>
            <w:rStyle w:val="Hyperlink"/>
          </w:rPr>
          <w:t xml:space="preserve">Criterios de diagnóstico ATP III</w:t>
        </w:r>
      </w:hyperlink>
      <w:r>
        <w:br w:type="textWrapping"/>
      </w:r>
      <w:hyperlink w:anchor="criterios-de-diagnóstico-de-la-asociación-americana-de-endocrinología">
        <w:r>
          <w:rPr>
            <w:rStyle w:val="Hyperlink"/>
          </w:rPr>
          <w:t xml:space="preserve">Criterios de diagnóstico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factores-de-riesgo-de-sm-de-la-asociación-americana-de-endocrinología">
        <w:r>
          <w:rPr>
            <w:rStyle w:val="Hyperlink"/>
          </w:rPr>
          <w:t xml:space="preserve">Factores de riesgo de SM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criterios-diagnostico-federación-internacional-de-diabetes">
        <w:r>
          <w:rPr>
            <w:rStyle w:val="Hyperlink"/>
          </w:rPr>
          <w:t xml:space="preserve">Criterios diagnostico Federación Internacional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</w:t>
        </w:r>
      </w:hyperlink>
      <w:r>
        <w:br w:type="textWrapping"/>
      </w:r>
      <w:hyperlink w:anchor="valores-de-circunferencia-abdominal-indicándose-la-especificidad-étnica">
        <w:r>
          <w:rPr>
            <w:rStyle w:val="Hyperlink"/>
          </w:rPr>
          <w:t xml:space="preserve">Valores de circunferencia abdominal indicándose la especificidad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étnica</w:t>
        </w:r>
      </w:hyperlink>
      <w:r>
        <w:br w:type="textWrapping"/>
      </w:r>
      <w:hyperlink w:anchor="criterios-de-síndrome-metabólico-en-la-infancia-y-adolescencia-de-la-international-diabetes-federation">
        <w:r>
          <w:rPr>
            <w:rStyle w:val="Hyperlink"/>
          </w:rPr>
          <w:t xml:space="preserve">Criterios de síndrome metabólico en la infancia y adolescencia de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br w:type="textWrapping"/>
      </w: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7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4" w:name="diagnóstico-del-sm"/>
      <w:bookmarkEnd w:id="34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 síndrome metabólico,</w:t>
      </w:r>
      <w:r>
        <w:t xml:space="preserve"> </w:t>
      </w:r>
      <w:r>
        <w:t xml:space="preserve">siendo habitual que en una persona confluyan varios de ellos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 Es un factor de riesgo mayor para enfermedades del</w:t>
      </w:r>
      <w:r>
        <w:t xml:space="preserve"> </w:t>
      </w:r>
      <w:r>
        <w:t xml:space="preserve">corazón que acumular demasiada grasa en otras partes del cuerpo.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09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09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09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5" w:name="factores-de-riesgo-como-criterios-de-diagnóstico."/>
      <w:bookmarkEnd w:id="35"/>
      <w:r>
        <w:t xml:space="preserve">Factores de riesgo como criterios de diagnóstico.</w:t>
      </w:r>
    </w:p>
    <w:p>
      <w:pPr>
        <w:pStyle w:val="Heading4"/>
      </w:pPr>
      <w:bookmarkStart w:id="36" w:name="obesidad-abdominal.-perímetro-de-cintura-elevado."/>
      <w:bookmarkEnd w:id="36"/>
      <w:r>
        <w:t xml:space="preserve">3.2.1.1 Obesidad abdominal.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0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0"/>
          <w:ilvl w:val="0"/>
        </w:numPr>
      </w:pPr>
      <w:r>
        <w:t xml:space="preserve">Fenotipo androide: segmento superior:</w:t>
      </w:r>
    </w:p>
    <w:p>
      <w:pPr>
        <w:pStyle w:val="Compact"/>
        <w:numPr>
          <w:numId w:val="1011"/>
          <w:ilvl w:val="1"/>
        </w:numPr>
      </w:pPr>
      <w:r>
        <w:t xml:space="preserve">Grasa subcutánea</w:t>
      </w:r>
    </w:p>
    <w:p>
      <w:pPr>
        <w:pStyle w:val="Compact"/>
        <w:numPr>
          <w:numId w:val="1011"/>
          <w:ilvl w:val="1"/>
        </w:numPr>
      </w:pPr>
      <w:r>
        <w:t xml:space="preserve">Grasa interna + Visceral +Muscular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resistencia-a-la-insulina.-diabetes-mellitus-tipo-ii"/>
      <w:bookmarkEnd w:id="37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2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2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2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2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2"/>
          <w:ilvl w:val="0"/>
        </w:numPr>
      </w:pPr>
      <w:r>
        <w:t xml:space="preserve">Eleva la presión arterial.</w:t>
      </w:r>
    </w:p>
    <w:p>
      <w:pPr>
        <w:pStyle w:val="Compact"/>
        <w:numPr>
          <w:numId w:val="1012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3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3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3"/>
          <w:ilvl w:val="0"/>
        </w:numPr>
      </w:pPr>
      <w:r>
        <w:t xml:space="preserve">Dislipidemias.</w:t>
      </w:r>
    </w:p>
    <w:p>
      <w:pPr>
        <w:pStyle w:val="Compact"/>
        <w:numPr>
          <w:numId w:val="1013"/>
          <w:ilvl w:val="0"/>
        </w:numPr>
      </w:pPr>
      <w:r>
        <w:t xml:space="preserve">Hipertensión arterial.</w:t>
      </w:r>
    </w:p>
    <w:p>
      <w:pPr>
        <w:pStyle w:val="Compact"/>
        <w:numPr>
          <w:numId w:val="1013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86.363636363636"/>
        <w:tblLook w:firstRow="1"/>
      </w:tblPr>
      <w:tblGrid>
        <w:gridCol w:w="621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u incidencia y prevalencia va en aumento, se calcula otros 350 millones</w:t>
      </w:r>
      <w:r>
        <w:t xml:space="preserve"> </w:t>
      </w:r>
      <w:r>
        <w:t xml:space="preserve">de personas en todo el mundo con riesgo de desarrollar diabetes y es</w:t>
      </w:r>
      <w:r>
        <w:t xml:space="preserve"> </w:t>
      </w:r>
      <w:r>
        <w:t xml:space="preserve">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6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6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7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7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18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19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19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20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0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18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se producen en el intestino y en el hígado y se transportan a los</w:t>
      </w:r>
      <w:r>
        <w:t xml:space="preserve"> </w:t>
      </w:r>
      <w:r>
        <w:t xml:space="preserve">tejidos donde se utilizan como una reserva de energía para cubrir las</w:t>
      </w:r>
      <w:r>
        <w:t xml:space="preserve"> </w:t>
      </w:r>
      <w:r>
        <w:t xml:space="preserve">necesidades metabólicas de los músculos y el 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1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1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1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1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1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1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1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2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2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2"/>
          <w:ilvl w:val="0"/>
        </w:numPr>
      </w:pPr>
      <w:r>
        <w:t xml:space="preserve">Disbetalipoproteinemia</w:t>
      </w:r>
    </w:p>
    <w:p>
      <w:pPr>
        <w:pStyle w:val="Compact"/>
        <w:numPr>
          <w:numId w:val="1022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b/>
        </w:rP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3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3"/>
          <w:ilvl w:val="0"/>
        </w:numPr>
      </w:pPr>
      <w:r>
        <w:t xml:space="preserve">Enfermedad renal</w:t>
      </w:r>
    </w:p>
    <w:p>
      <w:pPr>
        <w:pStyle w:val="Compact"/>
        <w:numPr>
          <w:numId w:val="1023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3"/>
          <w:ilvl w:val="0"/>
        </w:numPr>
      </w:pPr>
      <w:r>
        <w:t xml:space="preserve">Problemas de tiroides</w:t>
      </w:r>
    </w:p>
    <w:p>
      <w:pPr>
        <w:pStyle w:val="Compact"/>
        <w:numPr>
          <w:numId w:val="1023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3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3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4"/>
          <w:ilvl w:val="0"/>
        </w:numPr>
      </w:pPr>
      <w:r>
        <w:t xml:space="preserve">Cáncer colorrectal</w:t>
      </w:r>
    </w:p>
    <w:p>
      <w:pPr>
        <w:pStyle w:val="Compact"/>
        <w:numPr>
          <w:numId w:val="1024"/>
          <w:ilvl w:val="0"/>
        </w:numPr>
      </w:pPr>
      <w:r>
        <w:t xml:space="preserve">Cáncer de mama</w:t>
      </w:r>
    </w:p>
    <w:p>
      <w:pPr>
        <w:pStyle w:val="Compact"/>
        <w:numPr>
          <w:numId w:val="1024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5"/>
          <w:ilvl w:val="0"/>
        </w:numPr>
      </w:pPr>
      <w:r>
        <w:t xml:space="preserve">Esteatosis hepática,</w:t>
      </w:r>
    </w:p>
    <w:p>
      <w:pPr>
        <w:pStyle w:val="Compact"/>
        <w:numPr>
          <w:numId w:val="1025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5"/>
          <w:ilvl w:val="0"/>
        </w:numPr>
      </w:pPr>
      <w:r>
        <w:t xml:space="preserve">Enfermedad renal crónica,</w:t>
      </w:r>
    </w:p>
    <w:p>
      <w:pPr>
        <w:pStyle w:val="Compact"/>
        <w:numPr>
          <w:numId w:val="1025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5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5" w:name="sm-en-la-mujer"/>
      <w:bookmarkEnd w:id="45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6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6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6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6"/>
      </w:pPr>
      <w:bookmarkStart w:id="46" w:name="sm-en-el-embarazo"/>
      <w:bookmarkEnd w:id="46"/>
      <w:r>
        <w:t xml:space="preserve">SM en el embarazo</w:t>
      </w:r>
    </w:p>
    <w:p>
      <w:pPr>
        <w:pStyle w:val="FirstParagraph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7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7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7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28"/>
          <w:ilvl w:val="0"/>
        </w:numPr>
      </w:pPr>
      <w:r>
        <w:t xml:space="preserve">Un mayor estrés oxidativo.</w:t>
      </w:r>
    </w:p>
    <w:p>
      <w:pPr>
        <w:pStyle w:val="Compact"/>
        <w:numPr>
          <w:numId w:val="1028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28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28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28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3" w:name="resultados"/>
      <w:bookmarkEnd w:id="53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</w:p>
    <w:p>
      <w:pPr>
        <w:pStyle w:val="Heading1"/>
      </w:pPr>
      <w:bookmarkStart w:id="54" w:name="discusión"/>
      <w:bookmarkEnd w:id="54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Se ha demostrado que la prevalencia del SM varía de acuerdo a la guía</w:t>
      </w:r>
      <w:r>
        <w:t xml:space="preserve"> </w:t>
      </w:r>
      <w:r>
        <w:t xml:space="preserve">que se utilice, en consecuencia, no se llega a conocer la real magnitud</w:t>
      </w:r>
      <w:r>
        <w:t xml:space="preserve"> </w:t>
      </w:r>
      <w:r>
        <w:t xml:space="preserve">del problema. Por ejemplo, la concepción original de Reaven considera a</w:t>
      </w:r>
      <w:r>
        <w:t xml:space="preserve"> </w:t>
      </w:r>
      <w:r>
        <w:t xml:space="preserve">la RI como el factor inicial y fundamental del denominado síndrome X;</w:t>
      </w:r>
      <w:r>
        <w:t xml:space="preserve"> </w:t>
      </w:r>
      <w:r>
        <w:t xml:space="preserve">sin embargo, sólo la OMS y el grupo de estudio EGIR lo toman en cuenta.</w:t>
      </w:r>
      <w:r>
        <w:t xml:space="preserve"> </w:t>
      </w: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BodyText"/>
      </w:pPr>
      <w:r>
        <w:t xml:space="preserve">¿Tiene el mismo riesgo un individuo que tiene los diferentes parámetros</w:t>
      </w:r>
      <w:r>
        <w:t xml:space="preserve"> </w:t>
      </w:r>
      <w:r>
        <w:t xml:space="preserve">muy alterados que otro que se encuentra apenas por encima de los</w:t>
      </w:r>
      <w:r>
        <w:t xml:space="preserve"> </w:t>
      </w:r>
      <w:r>
        <w:t xml:space="preserve">criterios de corte?</w:t>
      </w:r>
    </w:p>
    <w:p>
      <w:pPr>
        <w:pStyle w:val="BodyText"/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BodyText"/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BodyText"/>
      </w:pPr>
      <w:r>
        <w:t xml:space="preserve">Dos pacientes diferentes con el mismo número de factores de riesgo, pero</w:t>
      </w:r>
      <w:r>
        <w:t xml:space="preserve"> </w:t>
      </w:r>
      <w:r>
        <w:t xml:space="preserve">diferentes, ¿estarán expuestos al mismo riesgo?</w:t>
      </w:r>
    </w:p>
    <w:p>
      <w:pPr>
        <w:pStyle w:val="BodyText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55" w:name="conclusión"/>
      <w:bookmarkEnd w:id="55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origina principalmente por un desequilibrio en la ingesta de calorías y</w:t>
      </w:r>
      <w:r>
        <w:t xml:space="preserve"> </w:t>
      </w:r>
      <w:r>
        <w:t xml:space="preserve">el gasto energético, pero también se ve afectado por la composición</w:t>
      </w:r>
      <w:r>
        <w:t xml:space="preserve"> </w:t>
      </w:r>
      <w:r>
        <w:t xml:space="preserve">genética/epigenética del individuo, el predominio del estilo de vida</w:t>
      </w:r>
      <w:r>
        <w:t xml:space="preserve"> </w:t>
      </w:r>
      <w:r>
        <w:t xml:space="preserve">sedentario sobre la actividad física y otros factores como la microbiota</w:t>
      </w:r>
      <w:r>
        <w:t xml:space="preserve"> </w:t>
      </w:r>
      <w:r>
        <w:t xml:space="preserve">intestinal y la calidad y composición de los alimentos. No se puede</w:t>
      </w:r>
      <w:r>
        <w:t xml:space="preserve"> </w:t>
      </w:r>
      <w:r>
        <w:t xml:space="preserve">prescribir un solo remedio para su erradicación o incluso su reducción.</w:t>
      </w:r>
      <w:r>
        <w:t xml:space="preserve"> </w:t>
      </w:r>
      <w:r>
        <w:t xml:space="preserve">Al igual que en el control de otras epidemias, será muy importante la</w:t>
      </w:r>
      <w:r>
        <w:t xml:space="preserve"> </w:t>
      </w:r>
      <w:r>
        <w:t xml:space="preserve">educación de la población sobre el peligro para la salud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 Por lo tanto, en los</w:t>
      </w:r>
      <w:r>
        <w:t xml:space="preserve"> </w:t>
      </w:r>
      <w:r>
        <w:t xml:space="preserve">países pobres el riesgo de desarrollar obesidad es menor que el de</w:t>
      </w:r>
      <w:r>
        <w:t xml:space="preserve"> </w:t>
      </w:r>
      <w:r>
        <w:t xml:space="preserve">padecer desnutrición. Es decir, que una persona pobre en un país pobre</w:t>
      </w:r>
      <w:r>
        <w:t xml:space="preserve"> </w:t>
      </w:r>
      <w:r>
        <w:t xml:space="preserve">sufre escasez de alimentos sumado a un incremento en el gasto energético</w:t>
      </w:r>
      <w:r>
        <w:t xml:space="preserve"> </w:t>
      </w:r>
      <w:r>
        <w:t xml:space="preserve">relacionado con el trabajo manual; en cambio, una persona pobre en un</w:t>
      </w:r>
      <w:r>
        <w:t xml:space="preserve"> </w:t>
      </w:r>
      <w:r>
        <w:t xml:space="preserve">país de ingresos medios se expone a una abundancia de alimentos de mala</w:t>
      </w:r>
      <w:r>
        <w:t xml:space="preserve"> </w:t>
      </w:r>
      <w:r>
        <w:t xml:space="preserve">calidad 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 En contraste, los individuos de mayores ingresos</w:t>
      </w:r>
      <w:r>
        <w:t xml:space="preserve"> </w:t>
      </w:r>
      <w:r>
        <w:t xml:space="preserve">económicos que habitan en países de ingresos medios tienen mejor</w:t>
      </w:r>
      <w:r>
        <w:t xml:space="preserve"> </w:t>
      </w:r>
      <w:r>
        <w:t xml:space="preserve">educación, cobertura de salud, mayor acceso a alimentos de mejor calidad</w:t>
      </w:r>
      <w:r>
        <w:t xml:space="preserve"> </w:t>
      </w:r>
      <w:r>
        <w:t xml:space="preserve">y más tiempo libre para dedicarle a la actividad física. Por ello son en</w:t>
      </w:r>
      <w:r>
        <w:t xml:space="preserve"> </w:t>
      </w:r>
      <w:r>
        <w:t xml:space="preserve">promedio más delgados y metabólicamente más sanos.</w:t>
      </w:r>
    </w:p>
    <w:p>
      <w:pPr>
        <w:pStyle w:val="BodyText"/>
      </w:pPr>
      <w:r>
        <w:t xml:space="preserve">Los factores de riesgo (a excepción del tabaquismo) era más elevado en</w:t>
      </w:r>
      <w:r>
        <w:t xml:space="preserve"> </w:t>
      </w:r>
      <w:r>
        <w:t xml:space="preserve">aquellas personas con menores ingresos económicos y en los que tenían un</w:t>
      </w:r>
      <w:r>
        <w:t xml:space="preserve"> </w:t>
      </w:r>
      <w:r>
        <w:t xml:space="preserve">nivel educativo más bajo.</w:t>
      </w:r>
    </w:p>
    <w:p>
      <w:pPr>
        <w:pStyle w:val="BodyText"/>
      </w:pPr>
      <w:r>
        <w:t xml:space="preserve">Durante las últimas décadas, la sociedad ha experimentado cambios</w:t>
      </w:r>
      <w:r>
        <w:t xml:space="preserve"> </w:t>
      </w:r>
      <w:r>
        <w:t xml:space="preserve">drásticos que han afectado al comportamiento y estilo de vida del ser</w:t>
      </w:r>
      <w:r>
        <w:t xml:space="preserve"> </w:t>
      </w:r>
      <w:r>
        <w:t xml:space="preserve">humano. La mecanización en los puestos de trabajo, la globalización de</w:t>
      </w:r>
      <w:r>
        <w:t xml:space="preserve"> </w:t>
      </w:r>
      <w:r>
        <w:t xml:space="preserve">la tecnología, la falta de tiempo y las mejoras en el transporte, son</w:t>
      </w:r>
      <w:r>
        <w:t xml:space="preserve"> </w:t>
      </w:r>
      <w:r>
        <w:t xml:space="preserve">algunos de los aspectos que han llevado a un aumento en el consumo de</w:t>
      </w:r>
      <w:r>
        <w:t xml:space="preserve"> </w:t>
      </w:r>
      <w:r>
        <w:t xml:space="preserve">comida rápida con un elevado aporte calórico y al sedentarismo. Estas</w:t>
      </w:r>
      <w:r>
        <w:t xml:space="preserve"> </w:t>
      </w:r>
      <w:r>
        <w:t xml:space="preserve">circunstancias y coyunturas, han contribuido enormemente a que la</w:t>
      </w:r>
      <w:r>
        <w:t xml:space="preserve"> </w:t>
      </w:r>
      <w:r>
        <w:t xml:space="preserve">obesidad sea considerada una pandemia. Este hecho no solo es un problema</w:t>
      </w:r>
      <w:r>
        <w:t xml:space="preserve"> </w:t>
      </w:r>
      <w:r>
        <w:t xml:space="preserve">de los países industrializados, sino que también la obesidad va</w:t>
      </w:r>
      <w:r>
        <w:t xml:space="preserve"> </w:t>
      </w:r>
      <w:r>
        <w:t xml:space="preserve">aumentando notablemente en los países en transición, ya que estos países</w:t>
      </w:r>
      <w:r>
        <w:t xml:space="preserve"> </w:t>
      </w:r>
      <w:r>
        <w:t xml:space="preserve">están adquiriendo estilos de vida cada vez más parecidos a los</w:t>
      </w:r>
      <w:r>
        <w:t xml:space="preserve"> </w:t>
      </w:r>
      <w:r>
        <w:t xml:space="preserve">occidentales, disminuyendo la actividad física y teniendo un consumo</w:t>
      </w:r>
      <w:r>
        <w:t xml:space="preserve"> </w:t>
      </w:r>
      <w:r>
        <w:t xml:space="preserve">elevado de alimentos con alta densidad energética1.</w:t>
      </w:r>
    </w:p>
    <w:p>
      <w:pPr>
        <w:pStyle w:val="BodyText"/>
      </w:pPr>
    </w:p>
    <w:p>
      <w:pPr>
        <w:pStyle w:val="Heading1"/>
      </w:pPr>
      <w:bookmarkStart w:id="56" w:name="bibliografía"/>
      <w:bookmarkEnd w:id="56"/>
      <w:r>
        <w:t xml:space="preserve">Bibliografía</w:t>
      </w:r>
    </w:p>
    <w:p>
      <w:pPr>
        <w:pStyle w:val="Compact"/>
        <w:numPr>
          <w:numId w:val="1032"/>
          <w:ilvl w:val="0"/>
        </w:numPr>
      </w:pPr>
      <w:hyperlink r:id="rId57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32"/>
          <w:ilvl w:val="0"/>
        </w:numPr>
      </w:pPr>
      <w:hyperlink r:id="rId58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32"/>
          <w:ilvl w:val="0"/>
        </w:numPr>
      </w:pPr>
      <w:hyperlink r:id="rId59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32"/>
          <w:ilvl w:val="0"/>
        </w:numPr>
      </w:pPr>
      <w:hyperlink r:id="rId60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32"/>
          <w:ilvl w:val="0"/>
        </w:numPr>
      </w:pPr>
      <w:hyperlink r:id="rId6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32"/>
          <w:ilvl w:val="0"/>
        </w:numPr>
      </w:pPr>
      <w:hyperlink r:id="rId62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32"/>
          <w:ilvl w:val="0"/>
        </w:numPr>
      </w:pPr>
      <w:hyperlink r:id="rId63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32"/>
          <w:ilvl w:val="0"/>
        </w:numPr>
      </w:pPr>
      <w:hyperlink r:id="rId64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33"/>
          <w:ilvl w:val="0"/>
        </w:numPr>
      </w:pPr>
      <w:hyperlink r:id="rId6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33"/>
          <w:ilvl w:val="0"/>
        </w:numPr>
      </w:pPr>
      <w:hyperlink r:id="rId6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33"/>
          <w:ilvl w:val="0"/>
        </w:numPr>
      </w:pPr>
      <w:hyperlink r:id="rId6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33"/>
          <w:ilvl w:val="0"/>
        </w:numPr>
      </w:pPr>
      <w:hyperlink r:id="rId6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33"/>
          <w:ilvl w:val="0"/>
        </w:numPr>
      </w:pPr>
      <w:hyperlink r:id="rId6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33"/>
          <w:ilvl w:val="0"/>
        </w:numPr>
      </w:pPr>
      <w:hyperlink r:id="rId7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33"/>
          <w:ilvl w:val="0"/>
        </w:numPr>
      </w:pPr>
      <w:hyperlink r:id="rId7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33"/>
          <w:ilvl w:val="0"/>
        </w:numPr>
      </w:pPr>
      <w:hyperlink r:id="rId7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33"/>
          <w:ilvl w:val="0"/>
        </w:numPr>
      </w:pPr>
      <w:hyperlink r:id="rId7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33"/>
          <w:ilvl w:val="0"/>
        </w:numPr>
      </w:pPr>
      <w:hyperlink r:id="rId74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33"/>
          <w:ilvl w:val="0"/>
        </w:numPr>
      </w:pPr>
      <w:hyperlink r:id="rId75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33"/>
          <w:ilvl w:val="0"/>
        </w:numPr>
      </w:pPr>
      <w:hyperlink r:id="rId76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33"/>
          <w:ilvl w:val="0"/>
        </w:numPr>
      </w:pPr>
      <w:hyperlink r:id="rId77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33"/>
          <w:ilvl w:val="0"/>
        </w:numPr>
      </w:pPr>
      <w:hyperlink r:id="rId78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33"/>
          <w:ilvl w:val="0"/>
        </w:numPr>
      </w:pPr>
      <w:hyperlink r:id="rId79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0" w:name="anexos"/>
      <w:bookmarkEnd w:id="80"/>
      <w:r>
        <w:t xml:space="preserve">Anexos</w:t>
      </w:r>
    </w:p>
    <w:p>
      <w:pPr>
        <w:pStyle w:val="Heading2"/>
      </w:pPr>
      <w:bookmarkStart w:id="81" w:name="vocabulario"/>
      <w:bookmarkEnd w:id="81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2" w:name="abreviaturas"/>
      <w:bookmarkEnd w:id="82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83" w:name="tablas"/>
      <w:bookmarkEnd w:id="83"/>
      <w:r>
        <w:t xml:space="preserve">Tablas</w:t>
      </w: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  <w:r>
        <w:rPr>
          <w:b/>
        </w:rPr>
        <w:t xml:space="preserve">Descarte dislipemia</w:t>
      </w:r>
    </w:p>
    <w:p>
      <w:pPr>
        <w:pStyle w:val="BodyText"/>
      </w:pPr>
      <w:r>
        <w:t xml:space="preserve">Colesterol y triglicéridos no son solubles en agua y van a necesitar un</w:t>
      </w:r>
      <w:r>
        <w:t xml:space="preserve"> </w:t>
      </w:r>
      <w:r>
        <w:t xml:space="preserve">transportador para circular por el torrente sanguíneo.</w:t>
      </w:r>
    </w:p>
    <w:p>
      <w:pPr>
        <w:pStyle w:val="BodyText"/>
      </w:pPr>
      <w:r>
        <w:t xml:space="preserve">Las lipoproteínas LDL van a ser las encargadas de llevar colesterol y</w:t>
      </w:r>
      <w:r>
        <w:t xml:space="preserve"> </w:t>
      </w:r>
      <w:r>
        <w:t xml:space="preserve">triglicéridos al hígado para ser sintetizados.</w:t>
      </w:r>
    </w:p>
    <w:p>
      <w:pPr>
        <w:pStyle w:val="BodyText"/>
      </w:pPr>
      <w:r>
        <w:t xml:space="preserve">Una vez utilizadas tiene que ser desechadas para no acumularse en el</w:t>
      </w:r>
      <w:r>
        <w:t xml:space="preserve"> </w:t>
      </w:r>
      <w:r>
        <w:t xml:space="preserve">hígado y que no dé lugar el llamado hígado graso, así son enviadas al</w:t>
      </w:r>
      <w:r>
        <w:t xml:space="preserve"> </w:t>
      </w:r>
      <w:r>
        <w:t xml:space="preserve">músculo y demás órganos y tejidos para ser utilizados y los que no son</w:t>
      </w:r>
      <w:r>
        <w:t xml:space="preserve"> </w:t>
      </w:r>
      <w:r>
        <w:t xml:space="preserve">necesarios se envían de vuelta al hígado en forma de lipoproteínas que</w:t>
      </w:r>
      <w:r>
        <w:t xml:space="preserve"> </w:t>
      </w:r>
      <w:r>
        <w:t xml:space="preserve">serán colesterol y en mayor cantidad triglicéridos (VLDL de muy baja</w:t>
      </w:r>
      <w:r>
        <w:t xml:space="preserve"> </w:t>
      </w:r>
      <w:r>
        <w:t xml:space="preserve">densidad). De vuelta en el hígado este ingresa el colesterol que puede</w:t>
      </w:r>
      <w:r>
        <w:t xml:space="preserve"> </w:t>
      </w:r>
      <w:r>
        <w:t xml:space="preserve">guardar y devuelve al torrente sanguíneo el que no puede metabolizar</w:t>
      </w:r>
      <w:r>
        <w:t xml:space="preserve"> </w:t>
      </w:r>
      <w:r>
        <w:t xml:space="preserve">para que no forme grasa.Lo hace en formas de lipoproteínas LDL, éstas</w:t>
      </w:r>
      <w:r>
        <w:t xml:space="preserve"> </w:t>
      </w:r>
      <w:r>
        <w:t xml:space="preserve">tienen la característica de que el colesterol que transportarse queda</w:t>
      </w:r>
      <w:r>
        <w:t xml:space="preserve"> </w:t>
      </w:r>
      <w:r>
        <w:t xml:space="preserve">adherido a las paredes de los vasos sanguíneos siendo recogidos para su</w:t>
      </w:r>
      <w:r>
        <w:t xml:space="preserve"> </w:t>
      </w:r>
      <w:r>
        <w:t xml:space="preserve">eliminación por las lipoproteínas de HDL.</w:t>
      </w:r>
    </w:p>
    <w:p>
      <w:pPr>
        <w:pStyle w:val="BodyText"/>
      </w:pPr>
      <w:r>
        <w:t xml:space="preserve">Cuando se adhiere mayor cantidad LDL que del que las lipoproteínas de</w:t>
      </w:r>
      <w:r>
        <w:t xml:space="preserve"> </w:t>
      </w:r>
      <w:r>
        <w:t xml:space="preserve">HDL puede recoger es cuando se producen las dislipemias.</w:t>
      </w:r>
    </w:p>
    <w:p>
      <w:pPr>
        <w:pStyle w:val="BodyText"/>
      </w:pPr>
      <w:r>
        <w:t xml:space="preserve">Estos depositos de grasa son fagocitadas por los macrófagos formando las</w:t>
      </w:r>
      <w:r>
        <w:t xml:space="preserve"> </w:t>
      </w:r>
      <w:r>
        <w:t xml:space="preserve">células espumosas, se da una respuesta inflamatoria formándose el</w:t>
      </w:r>
      <w:r>
        <w:t xml:space="preserve"> </w:t>
      </w:r>
      <w:r>
        <w:t xml:space="preserve">ateroma. Cuando este ateroma se rompe y entra en el circuito de la</w:t>
      </w:r>
      <w:r>
        <w:t xml:space="preserve"> </w:t>
      </w:r>
      <w:r>
        <w:t xml:space="preserve">circulación es cuando se produce el trombo con su consiguiente riesgo</w:t>
      </w:r>
      <w:r>
        <w:t xml:space="preserve"> </w:t>
      </w:r>
      <w:r>
        <w:t xml:space="preserve">cardiovascular.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086b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6f66c5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011ad3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7" Target="http://dspace.utalca.cl/handle/1950/4714" TargetMode="External" /><Relationship Type="http://schemas.openxmlformats.org/officeDocument/2006/relationships/hyperlink" Id="rId61" Target="http://hdl.handle.net/2183/16548" TargetMode="External" /><Relationship Type="http://schemas.openxmlformats.org/officeDocument/2006/relationships/hyperlink" Id="rId63" Target="http://scielo.isciii.es/scielo.php?script=sci_arttext&amp;pid=S0212-16112017000500013&amp;lng=es&amp;nrm=iso" TargetMode="External" /><Relationship Type="http://schemas.openxmlformats.org/officeDocument/2006/relationships/hyperlink" Id="rId59" Target="http://scielo.isciii.es/scielo.php?script=sci_arttext&amp;pid=S1137-66272016000200009&amp;lng=es&amp;nrm=iso" TargetMode="External" /><Relationship Type="http://schemas.openxmlformats.org/officeDocument/2006/relationships/hyperlink" Id="rId57" Target="http://scielo.sld.cu/scielo.php?script=sci_arttext&amp;pid=S1561-29532006000300006" TargetMode="External" /><Relationship Type="http://schemas.openxmlformats.org/officeDocument/2006/relationships/hyperlink" Id="rId62" Target="http://ve.scielo.org/scielo.php?script=sci_arttext&amp;pid=S0048-77322011000200002&amp;lng=es&amp;nrm=iso" TargetMode="External" /><Relationship Type="http://schemas.openxmlformats.org/officeDocument/2006/relationships/hyperlink" Id="rId60" Target="http://ve.scielo.org/scielo.php?script=sci_arttext&amp;pid=S0798-07522007000200006" TargetMode="External" /><Relationship Type="http://schemas.openxmlformats.org/officeDocument/2006/relationships/hyperlink" Id="rId74" Target="http://www.scielo.org.pe/scielo.php?script=sci_arttext&amp;pid=S1025-55832020000100092&amp;lng=es" TargetMode="External" /><Relationship Type="http://schemas.openxmlformats.org/officeDocument/2006/relationships/hyperlink" Id="rId66" Target="https://doi.org/10.1373/clinchem.2005.048611" TargetMode="External" /><Relationship Type="http://schemas.openxmlformats.org/officeDocument/2006/relationships/hyperlink" Id="rId69" Target="https://isanidad.com/67663/la-falta-de-sueno-puede-disminuir-el-colesterol-bueno/" TargetMode="External" /><Relationship Type="http://schemas.openxmlformats.org/officeDocument/2006/relationships/hyperlink" Id="rId71" Target="https://middlesexhealth.org/learning-center/espanol/enfermedades-y-afecciones/s-ndrome-metab-lico" TargetMode="External" /><Relationship Type="http://schemas.openxmlformats.org/officeDocument/2006/relationships/hyperlink" Id="rId68" Target="https://ruc.udc.es/dspace/handle/2183/16548" TargetMode="External" /><Relationship Type="http://schemas.openxmlformats.org/officeDocument/2006/relationships/hyperlink" Id="rId75" Target="https://scielo.isciii.es/scielo.php?script=sci_arttext&amp;pid=S0212-16112017000500013" TargetMode="External" /><Relationship Type="http://schemas.openxmlformats.org/officeDocument/2006/relationships/hyperlink" Id="rId78" Target="https://scielo.isciii.es/scielo.php?script=sci_arttext&amp;pid=S0212-71992008000700003" TargetMode="External" /><Relationship Type="http://schemas.openxmlformats.org/officeDocument/2006/relationships/hyperlink" Id="rId70" Target="https://www.cun.es/enfermedades-tratamientos/enfermedades/sindrome-metabolico" TargetMode="External" /><Relationship Type="http://schemas.openxmlformats.org/officeDocument/2006/relationships/hyperlink" Id="rId7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9" Target="https://www.flasog.org/static/academica/Sindrome-Metabolico.pdf" TargetMode="External" /><Relationship Type="http://schemas.openxmlformats.org/officeDocument/2006/relationships/hyperlink" Id="rId72" Target="https://www.mayoclinic.org/es-es/diseases-conditions/metabolic-syndrome/diagnosis-treatment/drc-20351921" TargetMode="External" /><Relationship Type="http://schemas.openxmlformats.org/officeDocument/2006/relationships/hyperlink" Id="rId73" Target="https://www.mayoclinic.org/es-es/diseases-conditions/metabolic-syndrome/symptoms-causes/syc-20351916" TargetMode="External" /><Relationship Type="http://schemas.openxmlformats.org/officeDocument/2006/relationships/hyperlink" Id="rId76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4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dspace.utalca.cl/handle/1950/4714" TargetMode="External" /><Relationship Type="http://schemas.openxmlformats.org/officeDocument/2006/relationships/hyperlink" Id="rId61" Target="http://hdl.handle.net/2183/16548" TargetMode="External" /><Relationship Type="http://schemas.openxmlformats.org/officeDocument/2006/relationships/hyperlink" Id="rId63" Target="http://scielo.isciii.es/scielo.php?script=sci_arttext&amp;pid=S0212-16112017000500013&amp;lng=es&amp;nrm=iso" TargetMode="External" /><Relationship Type="http://schemas.openxmlformats.org/officeDocument/2006/relationships/hyperlink" Id="rId59" Target="http://scielo.isciii.es/scielo.php?script=sci_arttext&amp;pid=S1137-66272016000200009&amp;lng=es&amp;nrm=iso" TargetMode="External" /><Relationship Type="http://schemas.openxmlformats.org/officeDocument/2006/relationships/hyperlink" Id="rId57" Target="http://scielo.sld.cu/scielo.php?script=sci_arttext&amp;pid=S1561-29532006000300006" TargetMode="External" /><Relationship Type="http://schemas.openxmlformats.org/officeDocument/2006/relationships/hyperlink" Id="rId62" Target="http://ve.scielo.org/scielo.php?script=sci_arttext&amp;pid=S0048-77322011000200002&amp;lng=es&amp;nrm=iso" TargetMode="External" /><Relationship Type="http://schemas.openxmlformats.org/officeDocument/2006/relationships/hyperlink" Id="rId60" Target="http://ve.scielo.org/scielo.php?script=sci_arttext&amp;pid=S0798-07522007000200006" TargetMode="External" /><Relationship Type="http://schemas.openxmlformats.org/officeDocument/2006/relationships/hyperlink" Id="rId74" Target="http://www.scielo.org.pe/scielo.php?script=sci_arttext&amp;pid=S1025-55832020000100092&amp;lng=es" TargetMode="External" /><Relationship Type="http://schemas.openxmlformats.org/officeDocument/2006/relationships/hyperlink" Id="rId66" Target="https://doi.org/10.1373/clinchem.2005.048611" TargetMode="External" /><Relationship Type="http://schemas.openxmlformats.org/officeDocument/2006/relationships/hyperlink" Id="rId69" Target="https://isanidad.com/67663/la-falta-de-sueno-puede-disminuir-el-colesterol-bueno/" TargetMode="External" /><Relationship Type="http://schemas.openxmlformats.org/officeDocument/2006/relationships/hyperlink" Id="rId71" Target="https://middlesexhealth.org/learning-center/espanol/enfermedades-y-afecciones/s-ndrome-metab-lico" TargetMode="External" /><Relationship Type="http://schemas.openxmlformats.org/officeDocument/2006/relationships/hyperlink" Id="rId68" Target="https://ruc.udc.es/dspace/handle/2183/16548" TargetMode="External" /><Relationship Type="http://schemas.openxmlformats.org/officeDocument/2006/relationships/hyperlink" Id="rId75" Target="https://scielo.isciii.es/scielo.php?script=sci_arttext&amp;pid=S0212-16112017000500013" TargetMode="External" /><Relationship Type="http://schemas.openxmlformats.org/officeDocument/2006/relationships/hyperlink" Id="rId78" Target="https://scielo.isciii.es/scielo.php?script=sci_arttext&amp;pid=S0212-71992008000700003" TargetMode="External" /><Relationship Type="http://schemas.openxmlformats.org/officeDocument/2006/relationships/hyperlink" Id="rId70" Target="https://www.cun.es/enfermedades-tratamientos/enfermedades/sindrome-metabolico" TargetMode="External" /><Relationship Type="http://schemas.openxmlformats.org/officeDocument/2006/relationships/hyperlink" Id="rId7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9" Target="https://www.flasog.org/static/academica/Sindrome-Metabolico.pdf" TargetMode="External" /><Relationship Type="http://schemas.openxmlformats.org/officeDocument/2006/relationships/hyperlink" Id="rId72" Target="https://www.mayoclinic.org/es-es/diseases-conditions/metabolic-syndrome/diagnosis-treatment/drc-20351921" TargetMode="External" /><Relationship Type="http://schemas.openxmlformats.org/officeDocument/2006/relationships/hyperlink" Id="rId73" Target="https://www.mayoclinic.org/es-es/diseases-conditions/metabolic-syndrome/symptoms-causes/syc-20351916" TargetMode="External" /><Relationship Type="http://schemas.openxmlformats.org/officeDocument/2006/relationships/hyperlink" Id="rId76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4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2022-02-21T23:28:00Z</dcterms:created>
  <dcterms:modified xsi:type="dcterms:W3CDTF">2022-02-21T23:28:00Z</dcterms:modified>
</cp:coreProperties>
</file>