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la acumulación de tejido adiposo (TA) que puede afectar</w:t>
      </w:r>
      <w:r>
        <w:t xml:space="preserve"> </w:t>
      </w:r>
      <w:r>
        <w:t xml:space="preserve">negativamente a la salud. Sus indicadores son un IMC mayor o igual a 30</w:t>
      </w:r>
      <w:r>
        <w:t xml:space="preserve"> </w:t>
      </w:r>
      <w:r>
        <w:t xml:space="preserve">y el incremento del diámetro de la circunferencia de cintura.</w:t>
      </w:r>
    </w:p>
    <w:p>
      <w:pPr>
        <w:pStyle w:val="BodyText"/>
      </w:pPr>
      <w:r>
        <w:t xml:space="preserve">Podemos hablar de dos tipos de tejido adiposo en el abdomen según su</w:t>
      </w:r>
      <w:r>
        <w:t xml:space="preserve"> </w:t>
      </w:r>
      <w:r>
        <w:t xml:space="preserve">localización, el subcutáneo y el interno. Este último, asu vez, se</w:t>
      </w:r>
      <w:r>
        <w:t xml:space="preserve"> </w:t>
      </w:r>
      <w:r>
        <w:t xml:space="preserve">divide en visceral (depósito de grasa en órganos como hígado y páncreas)</w:t>
      </w:r>
      <w:r>
        <w:t xml:space="preserve"> </w:t>
      </w:r>
      <w:r>
        <w:t xml:space="preserve">y muscular.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La insulina es una hormona que ayuda a las células del organismo a</w:t>
      </w:r>
      <w:r>
        <w:t xml:space="preserve"> </w:t>
      </w:r>
      <w:r>
        <w:t xml:space="preserve">aceptar el azúcar (glucosa) que les da energía. Normalmente, el páncreas</w:t>
      </w:r>
      <w:r>
        <w:t xml:space="preserve"> </w:t>
      </w:r>
      <w:r>
        <w:t xml:space="preserve">libera insulina cuando se ingieren ciertos alimentos.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habítlos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 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.Ambos resultan beneficiosos ya que una dieta rica en estos</w:t>
      </w:r>
      <w:r>
        <w:t xml:space="preserve"> </w:t>
      </w:r>
      <w:r>
        <w:t xml:space="preserve">produce una disminución del colesterol total y del colesterol LDL.</w:t>
      </w:r>
      <w:r>
        <w:t xml:space="preserve"> </w:t>
      </w:r>
      <w:r>
        <w:t xml:space="preserve">Están presentes en el pescado azul (omega 3) y en aceites de</w:t>
      </w:r>
      <w:r>
        <w:t xml:space="preserve"> </w:t>
      </w:r>
      <w:r>
        <w:t xml:space="preserve">semillas y frutos secos (omega 6).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Están presentes en bollería</w:t>
      </w:r>
      <w:r>
        <w:t xml:space="preserve"> </w:t>
      </w:r>
      <w:r>
        <w:t xml:space="preserve">industrial, patatas de bolsa, snacks y en algunas grasas para</w:t>
      </w:r>
      <w:r>
        <w:t xml:space="preserve"> </w:t>
      </w:r>
      <w:r>
        <w:t xml:space="preserve">fritura y pastelería (por ejemplo, aceites 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Compact"/>
        <w:numPr>
          <w:numId w:val="1015"/>
          <w:ilvl w:val="0"/>
        </w:numPr>
      </w:pPr>
      <w:r>
        <w:t xml:space="preserve">Colesterol y triglicéridos no son solubles en agua y van a necesitar</w:t>
      </w:r>
      <w:r>
        <w:t xml:space="preserve"> </w:t>
      </w:r>
      <w:r>
        <w:t xml:space="preserve">un transportador para circular por el torrente sanguíneo.</w:t>
      </w:r>
    </w:p>
    <w:p>
      <w:pPr>
        <w:pStyle w:val="Compact"/>
        <w:numPr>
          <w:numId w:val="1015"/>
          <w:ilvl w:val="0"/>
        </w:numPr>
      </w:pPr>
      <w:r>
        <w:t xml:space="preserve">Las lipoproteínas LDL van a ser las encargadas de llevar colesterol</w:t>
      </w:r>
      <w:r>
        <w:t xml:space="preserve"> </w:t>
      </w:r>
      <w:r>
        <w:t xml:space="preserve">y triglicéridos al hígado para ser sintetizados.</w:t>
      </w:r>
    </w:p>
    <w:p>
      <w:pPr>
        <w:pStyle w:val="Compact"/>
        <w:numPr>
          <w:numId w:val="1015"/>
          <w:ilvl w:val="0"/>
        </w:numPr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</w:t>
      </w:r>
      <w:r>
        <w:t xml:space="preserve"> </w:t>
      </w:r>
      <w:r>
        <w:t xml:space="preserve">al músculo y demás órganos y tejidos para ser utilizados y los que</w:t>
      </w:r>
      <w:r>
        <w:t xml:space="preserve"> </w:t>
      </w:r>
      <w:r>
        <w:t xml:space="preserve">no son necesarios se envían de vuelta al hígado en forma de</w:t>
      </w:r>
      <w:r>
        <w:t xml:space="preserve"> </w:t>
      </w:r>
      <w:r>
        <w:t xml:space="preserve">lipoproteínas que serán colesterol y en mayor cantidad triglicéridos</w:t>
      </w:r>
      <w:r>
        <w:t xml:space="preserve"> </w:t>
      </w:r>
      <w:r>
        <w:t xml:space="preserve">(VLDL de muy baja densidad). De vuelta en el hígado este ingresa el</w:t>
      </w:r>
      <w:r>
        <w:t xml:space="preserve"> </w:t>
      </w:r>
      <w:r>
        <w:t xml:space="preserve">colesterol que puede guardar y devuelve al torrente sanguíneo el que</w:t>
      </w:r>
      <w:r>
        <w:t xml:space="preserve"> </w:t>
      </w:r>
      <w:r>
        <w:t xml:space="preserve">no puede metabolizar para que no forme grasa.Lo hace en formas de</w:t>
      </w:r>
      <w:r>
        <w:t xml:space="preserve"> </w:t>
      </w:r>
      <w:r>
        <w:t xml:space="preserve">lipoproteínas LDL, éstas tienen la característica de que el</w:t>
      </w:r>
      <w:r>
        <w:t xml:space="preserve"> </w:t>
      </w:r>
      <w:r>
        <w:t xml:space="preserve">colesterol que transportarse queda adherido a las paredes de los</w:t>
      </w:r>
      <w:r>
        <w:t xml:space="preserve"> </w:t>
      </w:r>
      <w:r>
        <w:t xml:space="preserve">vasos sanguíneos siendo recogidos para su eliminación por las</w:t>
      </w:r>
      <w:r>
        <w:t xml:space="preserve"> </w:t>
      </w:r>
      <w:r>
        <w:t xml:space="preserve">lipoproteínas de HDL.</w:t>
      </w:r>
    </w:p>
    <w:p>
      <w:pPr>
        <w:pStyle w:val="FirstParagraph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6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6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6"/>
          <w:ilvl w:val="0"/>
        </w:numPr>
      </w:pPr>
      <w:r>
        <w:t xml:space="preserve">Antiinflamatoria.</w:t>
      </w:r>
    </w:p>
    <w:p>
      <w:pPr>
        <w:pStyle w:val="Compact"/>
        <w:numPr>
          <w:numId w:val="1016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6"/>
          <w:ilvl w:val="0"/>
        </w:numPr>
      </w:pPr>
      <w:r>
        <w:t xml:space="preserve">Reparación endotelial.</w:t>
      </w:r>
    </w:p>
    <w:p>
      <w:pPr>
        <w:pStyle w:val="Compact"/>
        <w:numPr>
          <w:numId w:val="1016"/>
          <w:ilvl w:val="0"/>
        </w:numPr>
      </w:pPr>
      <w:r>
        <w:t xml:space="preserve">Antitrombótica.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7"/>
          <w:ilvl w:val="0"/>
        </w:numPr>
      </w:pPr>
      <w:r>
        <w:t xml:space="preserve">Enfermedad renal</w:t>
      </w:r>
    </w:p>
    <w:p>
      <w:pPr>
        <w:pStyle w:val="Compact"/>
        <w:numPr>
          <w:numId w:val="101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7"/>
          <w:ilvl w:val="0"/>
        </w:numPr>
      </w:pPr>
      <w:r>
        <w:t xml:space="preserve">Problemas de tiroides</w:t>
      </w:r>
    </w:p>
    <w:p>
      <w:pPr>
        <w:pStyle w:val="Compact"/>
        <w:numPr>
          <w:numId w:val="101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7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7" w:name="niveles-elevados-de-triglicéridos"/>
      <w:bookmarkEnd w:id="47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8"/>
          <w:ilvl w:val="0"/>
        </w:numPr>
      </w:pPr>
      <w:r>
        <w:t xml:space="preserve">el cáncer colorrectal</w:t>
      </w:r>
    </w:p>
    <w:p>
      <w:pPr>
        <w:pStyle w:val="Compact"/>
        <w:numPr>
          <w:numId w:val="1018"/>
          <w:ilvl w:val="0"/>
        </w:numPr>
      </w:pPr>
      <w:r>
        <w:t xml:space="preserve">cáncer de mama</w:t>
      </w:r>
    </w:p>
    <w:p>
      <w:pPr>
        <w:pStyle w:val="Compact"/>
        <w:numPr>
          <w:numId w:val="101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9"/>
          <w:ilvl w:val="0"/>
        </w:numPr>
      </w:pPr>
      <w:r>
        <w:t xml:space="preserve">la esteatosis hepática,</w:t>
      </w:r>
    </w:p>
    <w:p>
      <w:pPr>
        <w:pStyle w:val="Compact"/>
        <w:numPr>
          <w:numId w:val="101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9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0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1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5" w:name="complicaciones-materno-fetales"/>
      <w:bookmarkEnd w:id="55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4"/>
      </w:pPr>
      <w:bookmarkStart w:id="56" w:name="sm-en-la-infancia"/>
      <w:bookmarkEnd w:id="5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7" w:name="sm-en-la-tercera-edad"/>
      <w:bookmarkEnd w:id="5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2"/>
          <w:ilvl w:val="0"/>
        </w:numPr>
      </w:pPr>
      <w:r>
        <w:t xml:space="preserve">Un mayor estrés oxidativo.</w:t>
      </w:r>
    </w:p>
    <w:p>
      <w:pPr>
        <w:pStyle w:val="Compact"/>
        <w:numPr>
          <w:numId w:val="102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2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Discusión</w:t>
      </w:r>
    </w:p>
    <w:p>
      <w:pPr>
        <w:pStyle w:val="Heading1"/>
      </w:pPr>
      <w:bookmarkStart w:id="64" w:name="conclusión"/>
      <w:bookmarkEnd w:id="64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6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6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6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6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6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6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6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6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7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7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7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7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7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7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7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7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7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7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7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7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7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7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7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2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7a5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7e7a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b654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2022-02-15T18:57:20Z</dcterms:created>
  <dcterms:modified xsi:type="dcterms:W3CDTF">2022-02-15T18:57:20Z</dcterms:modified>
</cp:coreProperties>
</file>