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3.1 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3.2 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3.2.1 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3.2.2 Por grupos de población</w:t>
      </w:r>
    </w:p>
    <w:p>
      <w:pPr>
        <w:pStyle w:val="Compact"/>
        <w:numPr>
          <w:numId w:val="1005"/>
          <w:ilvl w:val="3"/>
        </w:numPr>
      </w:pPr>
      <w:r>
        <w:t xml:space="preserve">3.2.2.1 SM en el hombre</w:t>
      </w:r>
    </w:p>
    <w:p>
      <w:pPr>
        <w:pStyle w:val="Compact"/>
        <w:numPr>
          <w:numId w:val="1005"/>
          <w:ilvl w:val="3"/>
        </w:numPr>
      </w:pPr>
      <w:r>
        <w:t xml:space="preserve">3.2.2.2 SM en la mujer</w:t>
      </w:r>
      <w:r>
        <w:t xml:space="preserve"> </w:t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Embarazo. Complicaciones materno-fetales</w:t>
      </w:r>
    </w:p>
    <w:p>
      <w:pPr>
        <w:pStyle w:val="Compact"/>
        <w:numPr>
          <w:numId w:val="1005"/>
          <w:ilvl w:val="3"/>
        </w:numPr>
      </w:pPr>
      <w:r>
        <w:t xml:space="preserve">3.2.2.3 SM en la infancia</w:t>
      </w:r>
    </w:p>
    <w:p>
      <w:pPr>
        <w:pStyle w:val="Compact"/>
        <w:numPr>
          <w:numId w:val="1005"/>
          <w:ilvl w:val="3"/>
        </w:numPr>
      </w:pPr>
      <w:r>
        <w:t xml:space="preserve">3.2.2.4 SM en la tercera edad</w:t>
      </w:r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</w:t>
      </w:r>
      <w:r>
        <w:t xml:space="preserve"> </w:t>
      </w:r>
      <w:r>
        <w:t xml:space="preserve">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8. Bibliografía</w:t>
        </w:r>
      </w:hyperlink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tabla-1">
        <w:r>
          <w:rPr>
            <w:rStyle w:val="Hyperlink"/>
          </w:rPr>
          <w:t xml:space="preserve">Tabla 1: Historia</w:t>
        </w:r>
      </w:hyperlink>
      <w:r>
        <w:br w:type="textWrapping"/>
      </w:r>
      <w:hyperlink w:anchor="tabla-2">
        <w:r>
          <w:rPr>
            <w:rStyle w:val="Hyperlink"/>
          </w:rPr>
          <w:t xml:space="preserve">Tabla 2: Indice de Masa Corporal, Circunferencia Abdominal y Riesgo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Enfermedad Cardiovascular</w:t>
        </w:r>
      </w:hyperlink>
      <w:r>
        <w:br w:type="textWrapping"/>
      </w:r>
      <w:hyperlink w:anchor="tabla-3">
        <w:r>
          <w:rPr>
            <w:rStyle w:val="Hyperlink"/>
          </w:rPr>
          <w:t xml:space="preserve">Tabla 3: Criterios diagnósticos del Síndrome Metabólico (NCEP ATP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III)</w:t>
        </w:r>
      </w:hyperlink>
      <w:r>
        <w:br w:type="textWrapping"/>
      </w:r>
      <w:hyperlink w:anchor="tabla-4">
        <w:r>
          <w:rPr>
            <w:rStyle w:val="Hyperlink"/>
          </w:rPr>
          <w:t xml:space="preserve">Tabla 4: Diagnóstico de Síndrome Metabólico. Criterios de la IDF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(International Diabetes Federation</w:t>
        </w:r>
      </w:hyperlink>
      <w:r>
        <w:br w:type="textWrapping"/>
      </w:r>
      <w:hyperlink w:anchor="tabla-5">
        <w:r>
          <w:rPr>
            <w:rStyle w:val="Hyperlink"/>
          </w:rPr>
          <w:t xml:space="preserve">Tabla 5: Valores de circunferencia abdominal indicándose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especificidad étnica</w:t>
        </w:r>
      </w:hyperlink>
    </w:p>
    <w:p>
      <w:pPr>
        <w:pStyle w:val="Heading1"/>
      </w:pPr>
      <w:bookmarkStart w:id="25" w:name="i.-introducción"/>
      <w:bookmarkEnd w:id="25"/>
      <w:r>
        <w:t xml:space="preserve">I.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se que se consideraba como una garantía de supervivencia</w:t>
      </w:r>
      <w:r>
        <w:t xml:space="preserve"> </w:t>
      </w:r>
      <w:r>
        <w:t xml:space="preserve">ante 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 ya que desde finales del s.</w:t>
      </w:r>
      <w:r>
        <w:t xml:space="preserve"> </w:t>
      </w:r>
      <w:r>
        <w:t xml:space="preserve">XIX y hasta principios del s. XX la opinión médica era que tener de 10 a</w:t>
      </w:r>
      <w:r>
        <w:t xml:space="preserve"> </w:t>
      </w:r>
      <w:r>
        <w:t xml:space="preserve">20 kilos de exceso de peso era saludable y de protección contra</w:t>
      </w:r>
      <w:r>
        <w:t xml:space="preserve"> </w:t>
      </w:r>
      <w:r>
        <w:t xml:space="preserve">enfermedades, mientras que ser delgado no era sano y se atribuía a</w:t>
      </w:r>
      <w:r>
        <w:t xml:space="preserve"> </w:t>
      </w:r>
      <w:r>
        <w:t xml:space="preserve">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morbi-mortalidad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BodyText"/>
      </w:pP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2"/>
      </w:pPr>
      <w:bookmarkStart w:id="28" w:name="que-es"/>
      <w:bookmarkEnd w:id="28"/>
      <w:r>
        <w:t xml:space="preserve">Que es</w:t>
      </w:r>
    </w:p>
    <w:p>
      <w:pPr>
        <w:pStyle w:val="FirstParagraph"/>
      </w:pPr>
      <w:r>
        <w:t xml:space="preserve">Después de la definición dada por Reaven, en 1999 la OMS cambió la</w:t>
      </w:r>
      <w:r>
        <w:t xml:space="preserve"> </w:t>
      </w:r>
      <w:r>
        <w:t xml:space="preserve">denominación a 'Síndrome metabólico', y estableció una definición en la</w:t>
      </w:r>
      <w:r>
        <w:t xml:space="preserve"> </w:t>
      </w:r>
      <w:r>
        <w:t xml:space="preserve">que considera que hay evidencia de que la RI como el factor causal común</w:t>
      </w:r>
      <w:r>
        <w:t xml:space="preserve"> </w:t>
      </w:r>
      <w:r>
        <w:t xml:space="preserve">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</w:t>
      </w:r>
    </w:p>
    <w:p>
      <w:pPr>
        <w:pStyle w:val="Heading3"/>
      </w:pPr>
      <w:bookmarkStart w:id="29" w:name="evolución-de-la-definición-de-criterios-de-diagnóstico"/>
      <w:bookmarkEnd w:id="29"/>
      <w:r>
        <w:t xml:space="preserve">Evolución de la definición de criterios de diagnóstico</w:t>
      </w:r>
    </w:p>
    <w:p>
      <w:pPr>
        <w:pStyle w:val="Heading4"/>
      </w:pPr>
      <w:bookmarkStart w:id="30" w:name="grupo-europeo-para-el-estudio-de-la-resistencia-a-la-insulina-egir"/>
      <w:bookmarkEnd w:id="30"/>
      <w:r>
        <w:t xml:space="preserve">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Sugiere una definición para individuos no diabéticos, en</w:t>
      </w:r>
      <w:r>
        <w:t xml:space="preserve"> </w:t>
      </w:r>
      <w:r>
        <w:t xml:space="preserve">los que el síndrome se distinga por resistencia a la insulina o</w:t>
      </w:r>
      <w:r>
        <w:t xml:space="preserve"> </w:t>
      </w:r>
      <w:r>
        <w:t xml:space="preserve">hiperinsulinemia en ayuno y dos de los siguientes parámetros: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Criterios de diagnóstico EGIR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Los autores establecieron que la obesidad medida por el índice de masa</w:t>
      </w:r>
      <w:r>
        <w:t xml:space="preserve"> </w:t>
      </w:r>
      <w:r>
        <w:t xml:space="preserve">corporal no se considera parte del síndrome y que se ha demostrado que</w:t>
      </w:r>
      <w:r>
        <w:t xml:space="preserve"> </w:t>
      </w:r>
      <w:r>
        <w:t xml:space="preserve">la 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Heading4"/>
      </w:pPr>
      <w:bookmarkStart w:id="31" w:name="atp-iii"/>
      <w:bookmarkEnd w:id="31"/>
      <w:r>
        <w:t xml:space="preserve">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ATP III no consideró necesario recomendar una medición rutinaria de</w:t>
      </w:r>
      <w:r>
        <w:t xml:space="preserve"> </w:t>
      </w:r>
      <w:r>
        <w:t xml:space="preserve">resistencia a la insulina, pues asumen que la mayor parte de los sujetos</w:t>
      </w:r>
      <w:r>
        <w:t xml:space="preserve"> </w:t>
      </w:r>
      <w:r>
        <w:t xml:space="preserve">que cumplan tres o más criterios la padecerán y rechazan la</w:t>
      </w:r>
      <w:r>
        <w:t xml:space="preserve"> </w:t>
      </w:r>
      <w:r>
        <w:t xml:space="preserve">microalbuminuria de la Organización Mundial de la Salud. Tanto esta como</w:t>
      </w:r>
      <w:r>
        <w:t xml:space="preserve"> </w:t>
      </w:r>
      <w:r>
        <w:t xml:space="preserve">la definición de la OMS incluyen las cuatro características mayores del</w:t>
      </w:r>
      <w:r>
        <w:t xml:space="preserve"> </w:t>
      </w:r>
      <w:r>
        <w:t xml:space="preserve">síndrome metabólico y su uso clínico no debe ocasionar sismos graves</w:t>
      </w:r>
      <w:r>
        <w:t xml:space="preserve"> </w:t>
      </w:r>
      <w:r>
        <w:t xml:space="preserve">para identificar individuos.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Criterios de diagnóstico ATP III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Obesidad abdominal: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Triglicéridos: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Colesterol-DHL: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Presión arterial: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Grucosa en ayunas: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cumblen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Heading4"/>
      </w:pPr>
      <w:bookmarkStart w:id="32" w:name="asociación-americana-de-endocrinólogos-clínicos"/>
      <w:bookmarkEnd w:id="32"/>
      <w:r>
        <w:t xml:space="preserve">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al</w:t>
      </w:r>
      <w:r>
        <w:t xml:space="preserve"> </w:t>
      </w:r>
      <w:r>
        <w:t xml:space="preserve">índice de masa corporal como medida de obesidad, considerando a ésta</w:t>
      </w:r>
      <w:r>
        <w:t xml:space="preserve"> </w:t>
      </w:r>
      <w:r>
        <w:t xml:space="preserve">factor de riesgo, en lugar de criterio. Y modificaron la definición para</w:t>
      </w:r>
      <w:r>
        <w:t xml:space="preserve"> </w:t>
      </w:r>
      <w:r>
        <w:t xml:space="preserve">volver a enfocarla en la resistencia a la insulina como causa primaria</w:t>
      </w:r>
      <w:r>
        <w:t xml:space="preserve"> </w:t>
      </w:r>
      <w:r>
        <w:t xml:space="preserve">de síndrome metabólico y, una vez más, excluyeron a los diabéticos de la</w:t>
      </w:r>
      <w:r>
        <w:t xml:space="preserve"> </w:t>
      </w:r>
      <w:r>
        <w:t xml:space="preserve">definición y propusieron el nombre síndrome de resistencia a la</w:t>
      </w:r>
      <w:r>
        <w:t xml:space="preserve"> </w:t>
      </w:r>
      <w:r>
        <w:t xml:space="preserve">insulina.</w:t>
      </w:r>
    </w:p>
    <w:p>
      <w:pPr>
        <w:pStyle w:val="BodyText"/>
      </w:pPr>
    </w:p>
    <w:p>
      <w:pPr>
        <w:pStyle w:val="Heading4"/>
      </w:pPr>
      <w:bookmarkStart w:id="33" w:name="asociación-americana-de-endocrinología"/>
      <w:bookmarkEnd w:id="33"/>
      <w:r>
        <w:t xml:space="preserve">Asociación americana de endocrinología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Criterios de diagnóstico de la Asociación americana 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Glucosa plasmática: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Hombres: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Mujeres: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mismo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Heading4"/>
      </w:pPr>
      <w:bookmarkStart w:id="34" w:name="federación-internacional-de-diabetes"/>
      <w:bookmarkEnd w:id="34"/>
      <w:r>
        <w:t xml:space="preserve">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e estado protrombótico.</w:t>
      </w:r>
    </w:p>
    <w:tbl>
      <w:tblPr>
        <w:tblStyle w:val="TableNormal"/>
        <w:tblW w:type="pct" w:w="4873.4177215189875"/>
        <w:tblLook w:firstRow="1"/>
      </w:tblPr>
      <w:tblGrid>
        <w:gridCol w:w="2205"/>
        <w:gridCol w:w="55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Criterios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diagnostico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Federación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Internacional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criterios;108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Heading3"/>
      </w:pPr>
      <w:bookmarkStart w:id="35" w:name="herramienta-de-diagnóstico"/>
      <w:bookmarkEnd w:id="35"/>
      <w:r>
        <w:t xml:space="preserve">Herramienta de diagnóstico</w:t>
      </w:r>
    </w:p>
    <w:p>
      <w:pPr>
        <w:pStyle w:val="FirstParagraph"/>
      </w:pPr>
      <w:r>
        <w:t xml:space="preserve">Todas estas diversas definiciones compoarten algunos de los criterios</w:t>
      </w:r>
      <w:r>
        <w:t xml:space="preserve"> </w:t>
      </w:r>
      <w:r>
        <w:t xml:space="preserve">como la obesidad abdominal (</w:t>
      </w:r>
      <w:r>
        <w:rPr>
          <w:i/>
        </w:rPr>
        <w:t xml:space="preserve">perímetro de contorno de cintura elevado),</w:t>
      </w:r>
      <w:r>
        <w:rPr>
          <w:i/>
        </w:rPr>
        <w:t xml:space="preserve"> </w:t>
      </w:r>
      <w:r>
        <w:rPr>
          <w:i/>
        </w:rPr>
        <w:t xml:space="preserve">dislipidemia aterogénica (</w:t>
      </w:r>
      <w:r>
        <w:t xml:space="preserve"> </w:t>
      </w:r>
      <w:r>
        <w:t xml:space="preserve">alteración lipídica proteica, asociada a un</w:t>
      </w:r>
      <w:r>
        <w:t xml:space="preserve"> </w:t>
      </w:r>
      <w:r>
        <w:t xml:space="preserve">riesgo cardiovascular elevado caracterizada por la asociación de</w:t>
      </w:r>
      <w:r>
        <w:t xml:space="preserve"> </w:t>
      </w:r>
      <w:r>
        <w:t xml:space="preserve">colesterol HDL bajo, triglicéridos elevados y alta proporción de</w:t>
      </w:r>
      <w:r>
        <w:t xml:space="preserve"> </w:t>
      </w:r>
      <w:r>
        <w:t xml:space="preserve">partículas LDL), hipertensión, resistencia insulina (Diabetes mellitus</w:t>
      </w:r>
      <w:r>
        <w:t xml:space="preserve"> </w:t>
      </w:r>
      <w:r>
        <w:t xml:space="preserve">2), estado proinflamatorio y estado protrombótico.</w:t>
      </w:r>
    </w:p>
    <w:p>
      <w:pPr>
        <w:pStyle w:val="BodyText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varemos no es</w:t>
      </w:r>
      <w:r>
        <w:t xml:space="preserve"> </w:t>
      </w:r>
      <w:r>
        <w:t xml:space="preserve">válido para toda la población mundial, habiendose encontrado que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tbl>
      <w:tblPr>
        <w:tblStyle w:val="TableNormal"/>
        <w:tblW w:type="pct" w:w="4866.666666666667"/>
        <w:tblLook w:firstRow="1"/>
      </w:tblPr>
      <w:tblGrid>
        <w:gridCol w:w="2640"/>
        <w:gridCol w:w="2534"/>
        <w:gridCol w:w="253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Valores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circunferencia abdominal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indicándose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</w:t>
            </w:r>
            <w:r>
              <w:t xml:space="preserve"> </w:t>
            </w:r>
            <w:r>
              <w:t xml:space="preserve">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</w:t>
            </w:r>
            <w:r>
              <w:t xml:space="preserve"> </w:t>
            </w:r>
            <w:r>
              <w:t xml:space="preserve">basados en las</w:t>
            </w:r>
            <w:r>
              <w:t xml:space="preserve"> </w:t>
            </w:r>
            <w:r>
              <w:t xml:space="preserve">poblaciones Chinas,</w:t>
            </w:r>
            <w:r>
              <w:t xml:space="preserve"> </w:t>
            </w:r>
            <w:r>
              <w:t xml:space="preserve">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</w:t>
            </w:r>
            <w:r>
              <w:t xml:space="preserve"> </w:t>
            </w:r>
            <w:r>
              <w:t xml:space="preserve">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 para</w:t>
            </w:r>
            <w:r>
              <w:t xml:space="preserve"> </w:t>
            </w:r>
            <w:r>
              <w:t xml:space="preserve">Asiahasta 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</w:t>
            </w:r>
            <w:r>
              <w:t xml:space="preserve"> </w:t>
            </w:r>
            <w:r>
              <w:t xml:space="preserve">hasta 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</w:t>
            </w:r>
            <w:r>
              <w:t xml:space="preserve"> </w:t>
            </w:r>
            <w:r>
              <w:t xml:space="preserve">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</w:t>
            </w:r>
            <w:r>
              <w:t xml:space="preserve"> </w:t>
            </w:r>
            <w:r>
              <w:t xml:space="preserve">hasta 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tanto factores genéticos</w:t>
      </w:r>
      <w:r>
        <w:t xml:space="preserve"> </w:t>
      </w:r>
      <w:r>
        <w:t xml:space="preserve">como ambientales, que incluirían la alimentación y hábitos de vida. Una</w:t>
      </w:r>
      <w:r>
        <w:t xml:space="preserve"> </w:t>
      </w:r>
      <w:r>
        <w:t xml:space="preserve">alimentación con elevado consumo de grasas saturadas y de alto nivel</w:t>
      </w:r>
      <w:r>
        <w:t xml:space="preserve"> </w:t>
      </w:r>
      <w:r>
        <w:t xml:space="preserve">calórico, junto con una vida sedentaria pueden ser factores</w:t>
      </w:r>
      <w:r>
        <w:t xml:space="preserve"> </w:t>
      </w:r>
      <w:r>
        <w:t xml:space="preserve">determinantes para su desarrollo. Se considera que solo un 10% de los</w:t>
      </w:r>
      <w:r>
        <w:t xml:space="preserve"> </w:t>
      </w:r>
      <w:r>
        <w:t xml:space="preserve">casos de SM tiene causas genéticas, por lo que hay que resaltar la</w:t>
      </w:r>
      <w:r>
        <w:t xml:space="preserve"> </w:t>
      </w:r>
      <w:r>
        <w:t xml:space="preserve">importancia de la alimentación y los hábitos de vida como causa y a la</w:t>
      </w:r>
      <w:r>
        <w:t xml:space="preserve"> </w:t>
      </w:r>
      <w:r>
        <w:t xml:space="preserve">vez como instrumento de prevención y tratamiento del SM.</w:t>
      </w:r>
    </w:p>
    <w:p>
      <w:pPr>
        <w:pStyle w:val="BodyText"/>
      </w:pPr>
    </w:p>
    <w:p>
      <w:pPr>
        <w:pStyle w:val="Heading2"/>
      </w:pPr>
      <w:bookmarkStart w:id="36" w:name="diagnóstico"/>
      <w:bookmarkEnd w:id="36"/>
      <w:r>
        <w:t xml:space="preserve">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cuando está presente en un paciente es indicador de un elevado</w:t>
      </w:r>
      <w:r>
        <w:t xml:space="preserve"> </w:t>
      </w:r>
      <w:r>
        <w:t xml:space="preserve">riesgo cardiovascular.</w:t>
      </w:r>
    </w:p>
    <w:p>
      <w:pPr>
        <w:pStyle w:val="BodyText"/>
      </w:pPr>
      <w:r>
        <w:t xml:space="preserve">Como se ha indicado ha habido varios intentos para establecer unos</w:t>
      </w:r>
      <w:r>
        <w:t xml:space="preserve"> </w:t>
      </w:r>
      <w:r>
        <w:t xml:space="preserve">criterios que ayuden a diagnosticar SM</w:t>
      </w:r>
      <w:r>
        <w:t xml:space="preserve"> </w:t>
      </w:r>
      <w:hyperlink w:anchor="tabla-3">
        <w:r>
          <w:rPr>
            <w:rStyle w:val="Hyperlink"/>
          </w:rPr>
          <w:t xml:space="preserve">Tabla 3: Criterios diagnósticos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Síndrome Metabólico (NCEP ATP III)</w:t>
        </w:r>
      </w:hyperlink>
      <w:r>
        <w:t xml:space="preserve"> </w:t>
      </w:r>
      <w:hyperlink w:anchor="tabla-4">
        <w:r>
          <w:rPr>
            <w:rStyle w:val="Hyperlink"/>
          </w:rPr>
          <w:t xml:space="preserve">Tabla 4: Diagnóstico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Síndrome Metabólico. Criterios de la IDF (International Diabetes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Federation</w:t>
        </w:r>
      </w:hyperlink>
      <w:r>
        <w:t xml:space="preserve">. No existen unos varemos aceptados universalmente</w:t>
      </w:r>
      <w:r>
        <w:t xml:space="preserve"> </w:t>
      </w:r>
      <w:r>
        <w:t xml:space="preserve">y se ha detectado que los valores de corte difieren según la étnica de</w:t>
      </w:r>
      <w:r>
        <w:t xml:space="preserve"> </w:t>
      </w:r>
      <w:r>
        <w:t xml:space="preserve">los grupos de población.</w:t>
      </w:r>
      <w:hyperlink w:anchor="tabla-5">
        <w:r>
          <w:rPr>
            <w:rStyle w:val="Hyperlink"/>
          </w:rPr>
          <w:t xml:space="preserve">Tabla 5: Valores de circunferencia abdominal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indicándose la especificidad étnica</w:t>
        </w:r>
      </w:hyperlink>
    </w:p>
    <w:p>
      <w:pPr>
        <w:pStyle w:val="Heading3"/>
      </w:pPr>
      <w:bookmarkStart w:id="37" w:name="factores-de-riesgo"/>
      <w:bookmarkEnd w:id="37"/>
      <w:r>
        <w:t xml:space="preserve">Factores de riesgo</w:t>
      </w:r>
    </w:p>
    <w:p>
      <w:pPr>
        <w:pStyle w:val="Heading4"/>
      </w:pPr>
      <w:bookmarkStart w:id="38" w:name="circunferencia-grande-de-cintura"/>
      <w:bookmarkEnd w:id="38"/>
      <w:r>
        <w:t xml:space="preserve">Circunferencia grande de cintura</w:t>
      </w:r>
    </w:p>
    <w:p>
      <w:pPr>
        <w:pStyle w:val="FirstParagraph"/>
      </w:pPr>
      <w:r>
        <w:t xml:space="preserve">La obesidad es el aumento en la acumulación de tejido adiposo (TA) que</w:t>
      </w:r>
      <w:r>
        <w:t xml:space="preserve"> </w:t>
      </w:r>
      <w:r>
        <w:t xml:space="preserve">cursa con aumento del peso corporal, siendo el incremento del diámetro</w:t>
      </w:r>
      <w:r>
        <w:t xml:space="preserve"> </w:t>
      </w:r>
      <w:r>
        <w:t xml:space="preserve">de la circunferencia abdominal un indicador de obesidad.</w:t>
      </w:r>
    </w:p>
    <w:p>
      <w:pPr>
        <w:pStyle w:val="BodyText"/>
      </w:pPr>
      <w:r>
        <w:t xml:space="preserve">Se conoce que la obesidad aumenta el riesgo de aparición de ciertas</w:t>
      </w:r>
      <w:r>
        <w:t xml:space="preserve"> </w:t>
      </w:r>
      <w:r>
        <w:t xml:space="preserve">enfermedades. A mayor IMC más riesgo.</w:t>
      </w:r>
      <w:r>
        <w:t xml:space="preserve"> </w:t>
      </w:r>
      <w:hyperlink w:anchor="tabla-2">
        <w:r>
          <w:rPr>
            <w:rStyle w:val="Hyperlink"/>
          </w:rPr>
          <w:t xml:space="preserve">Tabla 2: Indice de Masa Corporal,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Circunferencia Abdominal y Riesgo de Enfermedad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Cardiovascular</w:t>
        </w:r>
      </w:hyperlink>
    </w:p>
    <w:p>
      <w:pPr>
        <w:pStyle w:val="BodyText"/>
      </w:pPr>
      <w:r>
        <w:t xml:space="preserve">Uno de los efectos secundarios del sobrepeso y la obesidad es la</w:t>
      </w:r>
      <w:r>
        <w:t xml:space="preserve"> </w:t>
      </w:r>
      <w:r>
        <w:t xml:space="preserve">aparición de un aumento en los niveles plasmáticos de insulina</w:t>
      </w:r>
    </w:p>
    <w:p>
      <w:pPr>
        <w:pStyle w:val="BodyText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tisular a la acción</w:t>
      </w:r>
      <w:r>
        <w:t xml:space="preserve"> </w:t>
      </w:r>
      <w:r>
        <w:t xml:space="preserve">de la hormona. Esta falta de sensibilidad provoca como respuesta un</w:t>
      </w:r>
      <w:r>
        <w:t xml:space="preserve"> </w:t>
      </w:r>
      <w:r>
        <w:t xml:space="preserve">aumento excesivo de su producción; que puede desenvocar en una</w:t>
      </w:r>
      <w:r>
        <w:t xml:space="preserve"> </w:t>
      </w:r>
      <w:r>
        <w:t xml:space="preserve">disfunsión metabólica y a la aparición de, entre otras patologías: DM2,</w:t>
      </w:r>
      <w:r>
        <w:t xml:space="preserve"> </w:t>
      </w:r>
      <w:r>
        <w:t xml:space="preserve">ECV, dislipidemias, síndrome de ovario poliquístico e hipertensión</w:t>
      </w:r>
      <w:r>
        <w:t xml:space="preserve"> </w:t>
      </w:r>
      <w:r>
        <w:t xml:space="preserve">arterial.</w:t>
      </w:r>
    </w:p>
    <w:p>
      <w:pPr>
        <w:pStyle w:val="Heading4"/>
      </w:pPr>
      <w:bookmarkStart w:id="39" w:name="colesterol-bueno-o-de-lipoproteínas-de-alta-densidad-reducido"/>
      <w:bookmarkEnd w:id="39"/>
      <w:r>
        <w:t xml:space="preserve">Colesterol bueno o de lipoproteínas de alta densidad reducido</w:t>
      </w:r>
    </w:p>
    <w:p>
      <w:pPr>
        <w:pStyle w:val="Heading4"/>
      </w:pPr>
      <w:bookmarkStart w:id="40" w:name="glucosa-sanguínea-en-ayunas-elevada"/>
      <w:bookmarkEnd w:id="40"/>
      <w:r>
        <w:t xml:space="preserve">Glucosa sanguínea en ayunas elevada</w:t>
      </w:r>
    </w:p>
    <w:p>
      <w:pPr>
        <w:pStyle w:val="Heading4"/>
      </w:pPr>
      <w:bookmarkStart w:id="41" w:name="hipertensión-arterial"/>
      <w:bookmarkEnd w:id="41"/>
      <w:r>
        <w:t xml:space="preserve">Hipertensión arterial</w:t>
      </w:r>
    </w:p>
    <w:p>
      <w:pPr>
        <w:pStyle w:val="Heading4"/>
      </w:pPr>
      <w:bookmarkStart w:id="42" w:name="niveles-elevados-de-triglicéridos"/>
      <w:bookmarkEnd w:id="42"/>
      <w:r>
        <w:t xml:space="preserve">Niveles elevados de triglicéridos</w:t>
      </w:r>
    </w:p>
    <w:p>
      <w:pPr>
        <w:pStyle w:val="Heading3"/>
      </w:pPr>
      <w:bookmarkStart w:id="43" w:name="patologías-relacionadas"/>
      <w:bookmarkEnd w:id="43"/>
      <w:r>
        <w:t xml:space="preserve">Patologías relacionadas</w:t>
      </w:r>
    </w:p>
    <w:p>
      <w:pPr>
        <w:pStyle w:val="FirstParagraph"/>
      </w:pPr>
      <w:r>
        <w:t xml:space="preserve">Relación entre el SM y:</w:t>
      </w:r>
    </w:p>
    <w:p>
      <w:pPr>
        <w:pStyle w:val="Compact"/>
        <w:numPr>
          <w:numId w:val="1007"/>
          <w:ilvl w:val="0"/>
        </w:numPr>
      </w:pPr>
      <w:r>
        <w:t xml:space="preserve">el cáncer colorrectal</w:t>
      </w:r>
    </w:p>
    <w:p>
      <w:pPr>
        <w:pStyle w:val="Compact"/>
        <w:numPr>
          <w:numId w:val="1007"/>
          <w:ilvl w:val="0"/>
        </w:numPr>
      </w:pPr>
      <w:r>
        <w:t xml:space="preserve">cáncer de mama</w:t>
      </w:r>
    </w:p>
    <w:p>
      <w:pPr>
        <w:pStyle w:val="Compact"/>
        <w:numPr>
          <w:numId w:val="1007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08"/>
          <w:ilvl w:val="0"/>
        </w:numPr>
      </w:pPr>
      <w:r>
        <w:t xml:space="preserve">la esteatosis hepática,</w:t>
      </w:r>
    </w:p>
    <w:p>
      <w:pPr>
        <w:pStyle w:val="Compact"/>
        <w:numPr>
          <w:numId w:val="1008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08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08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08"/>
          <w:ilvl w:val="0"/>
        </w:numPr>
      </w:pPr>
      <w:r>
        <w:t xml:space="preserve">la infertilidad masculina</w:t>
      </w:r>
    </w:p>
    <w:p>
      <w:pPr>
        <w:pStyle w:val="Heading2"/>
      </w:pPr>
      <w:bookmarkStart w:id="44" w:name="iii.2.2-por-grupos-de-población"/>
      <w:bookmarkEnd w:id="44"/>
      <w:r>
        <w:t xml:space="preserve">III.2.2 Por grupos de población</w:t>
      </w:r>
    </w:p>
    <w:p>
      <w:pPr>
        <w:pStyle w:val="Heading3"/>
      </w:pPr>
      <w:bookmarkStart w:id="45" w:name="sm-en-el-hombre"/>
      <w:bookmarkEnd w:id="45"/>
      <w:r>
        <w:t xml:space="preserve">3.2.2.1 SM en el hombre</w:t>
      </w:r>
    </w:p>
    <w:p>
      <w:pPr>
        <w:pStyle w:val="Heading3"/>
      </w:pPr>
      <w:bookmarkStart w:id="46" w:name="sm-en-la-mujer"/>
      <w:bookmarkEnd w:id="46"/>
      <w:r>
        <w:t xml:space="preserve">3.2.2.2 SM en la mujer</w:t>
      </w:r>
    </w:p>
    <w:p>
      <w:pPr>
        <w:pStyle w:val="Heading4"/>
      </w:pPr>
      <w:bookmarkStart w:id="47" w:name="embarazo"/>
      <w:bookmarkEnd w:id="47"/>
      <w:r>
        <w:t xml:space="preserve">Embarazo</w:t>
      </w:r>
    </w:p>
    <w:p>
      <w:pPr>
        <w:pStyle w:val="FirstParagraph"/>
      </w:pPr>
      <w:r>
        <w:t xml:space="preserve">El embarazo es un síndrome metabólico transitorio que predispone a</w:t>
      </w:r>
      <w:r>
        <w:t xml:space="preserve"> </w:t>
      </w:r>
      <w:r>
        <w:t xml:space="preserve">disfunción epitelial. En el embarazo normal, hay un gasto cardíaco</w:t>
      </w:r>
      <w:r>
        <w:t xml:space="preserve"> </w:t>
      </w:r>
      <w:r>
        <w:t xml:space="preserve">aumentado, tendencia a la hipercoagulabilidad, aumento de marcadores de</w:t>
      </w:r>
      <w:r>
        <w:t xml:space="preserve"> </w:t>
      </w:r>
      <w:r>
        <w:t xml:space="preserve">inflamación y, después de la semana 20, resistencia a la insulina y</w:t>
      </w:r>
      <w:r>
        <w:t xml:space="preserve"> </w:t>
      </w:r>
      <w:r>
        <w:t xml:space="preserve">dislipemia.</w:t>
      </w:r>
    </w:p>
    <w:p>
      <w:pPr>
        <w:pStyle w:val="BodyText"/>
      </w:pPr>
      <w:r>
        <w:t xml:space="preserve">Es una causa frecuente de ganancia de peso en la mujer.</w:t>
      </w:r>
    </w:p>
    <w:p>
      <w:pPr>
        <w:pStyle w:val="Block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</w:t>
      </w:r>
      <w:r>
        <w:t xml:space="preserve"> </w:t>
      </w:r>
      <w:r>
        <w:t xml:space="preserve">potencialmente tienen un riesgo incrementado de condiciones</w:t>
      </w:r>
      <w:r>
        <w:t xml:space="preserve"> </w:t>
      </w:r>
      <w:r>
        <w:t xml:space="preserve">metabólicas y cardiovasculares a lo largo de su vida.</w:t>
      </w:r>
    </w:p>
    <w:p>
      <w:pPr>
        <w:pStyle w:val="Block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 Si este</w:t>
      </w:r>
      <w:r>
        <w:t xml:space="preserve"> </w:t>
      </w:r>
      <w:r>
        <w:t xml:space="preserve">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lockText"/>
      </w:pPr>
      <w:r>
        <w:t xml:space="preserve">La presencia de SM antes del inicio del embarazo es un factor de</w:t>
      </w:r>
      <w:r>
        <w:t xml:space="preserve"> </w:t>
      </w:r>
      <w:r>
        <w:t xml:space="preserve">riesgo importante para trastornos hipertensivos del embarazo. Se ha</w:t>
      </w:r>
      <w:r>
        <w:t xml:space="preserve"> </w:t>
      </w:r>
      <w:r>
        <w:t xml:space="preserve">correlacionado con la hipertensión de la gestación en un 11 % y con la</w:t>
      </w:r>
      <w:r>
        <w:t xml:space="preserve"> </w:t>
      </w:r>
      <w:r>
        <w:t xml:space="preserve">preeclampsia en un 5 % (1). Igualmente el antecedente de trastornos</w:t>
      </w:r>
      <w:r>
        <w:t xml:space="preserve"> </w:t>
      </w:r>
      <w:r>
        <w:t xml:space="preserve">hipertensivos en el primer embarazo incrementa el riesgo de</w:t>
      </w:r>
      <w:r>
        <w:t xml:space="preserve"> </w:t>
      </w:r>
      <w:r>
        <w:t xml:space="preserve">desarrollar posteriormente SM de 3 a 5 veces</w:t>
      </w:r>
    </w:p>
    <w:p>
      <w:pPr>
        <w:pStyle w:val="BlockText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al contrario de lo que ocurre con los efectos</w:t>
      </w:r>
      <w:r>
        <w:t xml:space="preserve"> </w:t>
      </w:r>
      <w:r>
        <w:t xml:space="preserve">de una predisposición a las enfermedades cardiovasculares y la</w:t>
      </w:r>
      <w:r>
        <w:t xml:space="preserve"> </w:t>
      </w:r>
      <w:r>
        <w:t xml:space="preserve">diabetes tipo 2. Sin embargo tanto la diabetes de la DG como los</w:t>
      </w:r>
      <w:r>
        <w:t xml:space="preserve"> </w:t>
      </w:r>
      <w:r>
        <w:t xml:space="preserve">trastornos hipertensivos del embarazo (THE) pueden verse como</w:t>
      </w:r>
      <w:r>
        <w:t xml:space="preserve"> </w:t>
      </w:r>
      <w:r>
        <w:t xml:space="preserve">expresiones del síndrome durante la gestación (4).</w:t>
      </w:r>
    </w:p>
    <w:p>
      <w:pPr>
        <w:pStyle w:val="FirstParagraph"/>
      </w:pPr>
      <w:r>
        <w:t xml:space="preserve">Si la diabetes gestacional está asociada con obesidad, se incrementa el</w:t>
      </w:r>
      <w:r>
        <w:t xml:space="preserve"> </w:t>
      </w:r>
      <w:r>
        <w:t xml:space="preserve">riesgo de síndrome metabólico de 4 a 10 veces.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lockText"/>
      </w:pPr>
      <w:r>
        <w:t xml:space="preserve">Existen diversos factores de riesgo predisponentes relacionados con el</w:t>
      </w:r>
      <w:r>
        <w:t xml:space="preserve"> </w:t>
      </w:r>
      <w:r>
        <w:t xml:space="preserve">SM, entre los cuales están: obesidad, sedentarismo, dieta rica en</w:t>
      </w:r>
      <w:r>
        <w:t xml:space="preserve"> </w:t>
      </w:r>
      <w:r>
        <w:t xml:space="preserve">grasa. Los de mayor riesgo son los siguientes: hipertensión, hábito</w:t>
      </w:r>
      <w:r>
        <w:t xml:space="preserve"> </w:t>
      </w:r>
      <w:r>
        <w:t xml:space="preserve">tabáquico, concentraciones elevadas de lipoproteínas de baja densidad</w:t>
      </w:r>
      <w:r>
        <w:t xml:space="preserve"> </w:t>
      </w:r>
      <w:r>
        <w:t xml:space="preserve">(LDL) y bajas de lipoproteínas de alta densidad (HDL), antecedentes</w:t>
      </w:r>
      <w:r>
        <w:t xml:space="preserve"> </w:t>
      </w:r>
      <w:r>
        <w:t xml:space="preserve">familiares de enfermedad cardiovascular temprana y la edad.</w:t>
      </w:r>
    </w:p>
    <w:p>
      <w:pPr>
        <w:pStyle w:val="FirstParagraph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Heading4"/>
      </w:pPr>
      <w:bookmarkStart w:id="48" w:name="complicaciones-materno-fetales"/>
      <w:bookmarkEnd w:id="48"/>
      <w:r>
        <w:t xml:space="preserve">Complicaciones materno-fetales</w:t>
      </w:r>
    </w:p>
    <w:p>
      <w:pPr>
        <w:pStyle w:val="FirstParagraph"/>
      </w:pPr>
      <w:r>
        <w:t xml:space="preserve">para el feto, como pueden ser muerte prematura, macrosomía, hipoglicemia</w:t>
      </w:r>
      <w:r>
        <w:t xml:space="preserve"> </w:t>
      </w:r>
      <w:r>
        <w:t xml:space="preserve">y trauma neonatal. Los fetos macrosómicos y recién nacidos de madres</w:t>
      </w:r>
      <w:r>
        <w:t xml:space="preserve"> </w:t>
      </w:r>
      <w:r>
        <w:t xml:space="preserve">obesas tienen mayor riesgo de presentar SM a largo plazo, sumado a</w:t>
      </w:r>
      <w:r>
        <w:t xml:space="preserve"> </w:t>
      </w:r>
      <w:r>
        <w:t xml:space="preserve">cualquier predisposición hereditaria. Una alta concentración de</w:t>
      </w:r>
      <w:r>
        <w:t xml:space="preserve"> </w:t>
      </w:r>
      <w:r>
        <w:t xml:space="preserve">triglicéridos en la madre también puede provocar macrosomía. Por otro</w:t>
      </w:r>
      <w:r>
        <w:t xml:space="preserve"> </w:t>
      </w:r>
      <w:r>
        <w:t xml:space="preserve">lado el bajo peso al nacer va asociado a embarazos de mujeres con edades</w:t>
      </w:r>
      <w:r>
        <w:t xml:space="preserve"> </w:t>
      </w:r>
      <w:r>
        <w:t xml:space="preserve">avanzadas.</w:t>
      </w:r>
    </w:p>
    <w:p>
      <w:pPr>
        <w:pStyle w:val="BodyText"/>
      </w:pPr>
      <w:r>
        <w:t xml:space="preserve">El desarrollo y la progresión de la enfermedad cardiovascular se</w:t>
      </w:r>
      <w:r>
        <w:t xml:space="preserve"> </w:t>
      </w:r>
      <w:r>
        <w:t xml:space="preserve">relacionan con el número e intensidad de factores de riesgo que</w:t>
      </w:r>
      <w:r>
        <w:t xml:space="preserve"> </w:t>
      </w:r>
      <w:r>
        <w:t xml:space="preserve">iniciaron en la infancia, y también durante el desarrollo intrauterino.</w:t>
      </w:r>
    </w:p>
    <w:p>
      <w:pPr>
        <w:pStyle w:val="BodyText"/>
      </w:pPr>
      <w:r>
        <w:t xml:space="preserve">Las complicaciones neonatales en las gestantes con SM son mayores de las</w:t>
      </w:r>
      <w:r>
        <w:t xml:space="preserve"> </w:t>
      </w:r>
      <w:r>
        <w:t xml:space="preserve">que no lo presentan. Y los hijos de mujeres con diabetes tipo 1 tienen</w:t>
      </w:r>
      <w:r>
        <w:t xml:space="preserve"> </w:t>
      </w:r>
      <w:r>
        <w:t xml:space="preserve">predisposición al desarrollo de enfermedades cardiovasculares durante la</w:t>
      </w:r>
      <w:r>
        <w:t xml:space="preserve"> </w:t>
      </w:r>
      <w:r>
        <w:t xml:space="preserve">infancia.</w:t>
      </w:r>
    </w:p>
    <w:p>
      <w:pPr>
        <w:pStyle w:val="BodyText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feto,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Tanto la DG como la diabetes tipo 2 se relacionan con varias</w:t>
      </w:r>
      <w:r>
        <w:t xml:space="preserve"> </w:t>
      </w:r>
      <w:r>
        <w:t xml:space="preserve">consecuencias negativas</w:t>
      </w:r>
    </w:p>
    <w:p>
      <w:pPr>
        <w:pStyle w:val="Heading3"/>
      </w:pPr>
      <w:bookmarkStart w:id="49" w:name="sm-en-la-infancia"/>
      <w:bookmarkEnd w:id="49"/>
      <w:r>
        <w:t xml:space="preserve">3.2.2.3 SM en la infancia</w:t>
      </w:r>
    </w:p>
    <w:p>
      <w:pPr>
        <w:pStyle w:val="FirstParagraph"/>
      </w:pPr>
      <w:r>
        <w:t xml:space="preserve">En los últimos 50 años la obesidad y el SM se han convertido en un</w:t>
      </w:r>
      <w:r>
        <w:t xml:space="preserve"> </w:t>
      </w:r>
      <w:r>
        <w:t xml:space="preserve">problema global. Esto antes era considerado como enfermedades del</w:t>
      </w:r>
      <w:r>
        <w:t xml:space="preserve"> </w:t>
      </w:r>
      <w:r>
        <w:t xml:space="preserve">adulto, ahora ha ido aumentando de forma progresiva su incidencia en</w:t>
      </w:r>
      <w:r>
        <w:t xml:space="preserve"> </w:t>
      </w:r>
      <w:r>
        <w:t xml:space="preserve">niños y adolescentes. Que no solo se están volviendo más obesos sino que</w:t>
      </w:r>
      <w:r>
        <w:t xml:space="preserve"> </w:t>
      </w:r>
      <w:r>
        <w:t xml:space="preserve">lo están haciendo a edades más tempranas. Los mecanismos</w:t>
      </w:r>
      <w:r>
        <w:t xml:space="preserve"> </w:t>
      </w:r>
      <w:r>
        <w:t xml:space="preserve">fisiopatológicos descritos para la población adulta también pueden</w:t>
      </w:r>
      <w:r>
        <w:t xml:space="preserve"> </w:t>
      </w:r>
      <w:r>
        <w:t xml:space="preserve">explicar la aparición del SM en niños y adolescentes. Aunque nos</w:t>
      </w:r>
      <w:r>
        <w:t xml:space="preserve"> </w:t>
      </w:r>
      <w:r>
        <w:t xml:space="preserve">encontramos con la dificultad para medirlo de que no existe una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antropométicas cambian con la edad y el desarrollo en la</w:t>
      </w:r>
      <w:r>
        <w:t xml:space="preserve"> </w:t>
      </w:r>
      <w:r>
        <w:t xml:space="preserve">adolescencia. Además, no existe un criterio unificado para poder evaluar</w:t>
      </w:r>
      <w:r>
        <w:t xml:space="preserve"> </w:t>
      </w:r>
      <w:r>
        <w:t xml:space="preserve">el SM en niños, lo cual dificulta su diagnóstico.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propuso una</w:t>
      </w:r>
      <w:r>
        <w:t xml:space="preserve"> </w:t>
      </w:r>
      <w:r>
        <w:t xml:space="preserve">definición de síndrome metabólico para la infancia y adolescencia.</w:t>
      </w:r>
      <w:r>
        <w:t xml:space="preserve"> </w:t>
      </w:r>
      <w:r>
        <w:t xml:space="preserve">Basada en grupos de edad y que no permite hacer el diagnóstico antes de</w:t>
      </w:r>
      <w:r>
        <w:t xml:space="preserve"> </w:t>
      </w:r>
      <w:r>
        <w:t xml:space="preserve">los 10 años, requiere el diagnóstico de obesidad central y la presencia</w:t>
      </w:r>
      <w:r>
        <w:t xml:space="preserve"> </w:t>
      </w:r>
      <w:r>
        <w:t xml:space="preserve">de otros dos factores de riesgo para su diagnóstico (dislipemia,</w:t>
      </w:r>
      <w:r>
        <w:t xml:space="preserve"> </w:t>
      </w:r>
      <w:r>
        <w:t xml:space="preserve">hipertensión o alteración de la glucosa).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En el año 2007 la International Diabetes Federation propuso una</w:t>
      </w:r>
      <w:r>
        <w:t xml:space="preserve"> </w:t>
      </w:r>
      <w:r>
        <w:t xml:space="preserve">definición de síndrome metabólico para la infancia y adolescencia.</w:t>
      </w:r>
      <w:r>
        <w:t xml:space="preserve"> </w:t>
      </w:r>
      <w:r>
        <w:t xml:space="preserve">Basada en grupos de edad y que no permite hacer el diagnóstico antes de</w:t>
      </w:r>
      <w:r>
        <w:t xml:space="preserve"> </w:t>
      </w:r>
      <w:r>
        <w:t xml:space="preserve">los 10 años, requiere el diagnóstico de obesidad central y la presencia</w:t>
      </w:r>
      <w:r>
        <w:t xml:space="preserve"> </w:t>
      </w:r>
      <w:r>
        <w:t xml:space="preserve">de otros dos factores de riesgo para su diagnóstico (dislipemia,</w:t>
      </w:r>
      <w:r>
        <w:t xml:space="preserve"> </w:t>
      </w:r>
      <w:r>
        <w:t xml:space="preserve">hipertensión o alteración de la glucosa).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rPr>
          <w:b/>
        </w:rPr>
        <w:t xml:space="preserve">Insertar Tabla: Criterios de síndrome metabólico en la infancia y</w:t>
      </w:r>
      <w:r>
        <w:rPr>
          <w:b/>
        </w:rPr>
        <w:t xml:space="preserve"> </w:t>
      </w:r>
      <w:r>
        <w:rPr>
          <w:b/>
        </w:rPr>
        <w:t xml:space="preserve">adolescencia de la International Diabetes Federation</w:t>
      </w:r>
      <w:r>
        <w:t xml:space="preserve"> </w:t>
      </w:r>
      <w:hyperlink r:id="rId50">
        <w:r>
          <w:rPr>
            <w:rStyle w:val="Hyperlink"/>
          </w:rPr>
          <w:t xml:space="preserve">tabla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Por ejemplo, se ha encontrado que a mayor peso al nacer, mayor</w:t>
      </w:r>
      <w:r>
        <w:t xml:space="preserve"> </w:t>
      </w:r>
      <w:r>
        <w:t xml:space="preserve">probabilidad de desarrollar sobrepeso u obesidad y mayores niveles de</w:t>
      </w:r>
      <w:r>
        <w:t xml:space="preserve"> </w:t>
      </w:r>
      <w:r>
        <w:t xml:space="preserve">presión arterial sistólica durante su niñez.</w:t>
      </w:r>
    </w:p>
    <w:p>
      <w:pPr>
        <w:pStyle w:val="BodyText"/>
      </w:pPr>
      <w:r>
        <w:t xml:space="preserve">Se ha encontrado también relación entre el bajo peso al nacer y el</w:t>
      </w:r>
      <w:r>
        <w:t xml:space="preserve"> </w:t>
      </w:r>
      <w:r>
        <w:t xml:space="preserve">riesgo cardiometabólico, morbilidad y mortalidad cardiovascular. Y que</w:t>
      </w:r>
      <w:r>
        <w:t xml:space="preserve"> </w:t>
      </w:r>
      <w:r>
        <w:t xml:space="preserve">el alto peso al nacer está relacionado con el desarrollo de otros</w:t>
      </w:r>
      <w:r>
        <w:t xml:space="preserve"> </w:t>
      </w:r>
      <w:r>
        <w:t xml:space="preserve">factores de riesgo cardiometabólicos como sobrepeso e hipertensión.</w:t>
      </w:r>
    </w:p>
    <w:p>
      <w:pPr>
        <w:pStyle w:val="BodyText"/>
      </w:pPr>
      <w:r>
        <w:t xml:space="preserve">Es importante identificar, de manera temprana, gestaciones en riesgo de</w:t>
      </w:r>
      <w:r>
        <w:t xml:space="preserve"> </w:t>
      </w:r>
      <w:r>
        <w:t xml:space="preserve">exceso de peso al nacer y el manejo de los factores que contribuyen al</w:t>
      </w:r>
      <w:r>
        <w:t xml:space="preserve"> </w:t>
      </w:r>
      <w:r>
        <w:t xml:space="preserve">mismo, con el fin de prevenir el posterior desarrollo de obesidad y</w:t>
      </w:r>
      <w:r>
        <w:t xml:space="preserve"> </w:t>
      </w:r>
      <w:r>
        <w:t xml:space="preserve">riesgo cardiovascular en estos niños.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Heading3"/>
      </w:pPr>
      <w:bookmarkStart w:id="51" w:name="sm-en-la-tercera-edad"/>
      <w:bookmarkEnd w:id="51"/>
      <w:r>
        <w:t xml:space="preserve">3.2.2.4 SM en la tercera edad</w:t>
      </w:r>
    </w:p>
    <w:p>
      <w:pPr>
        <w:pStyle w:val="FirstParagraph"/>
      </w:pPr>
      <w:r>
        <w:t xml:space="preserve">El proceso de envejecimiento se asocia principalmente con cifras</w:t>
      </w:r>
      <w:r>
        <w:t xml:space="preserve"> </w:t>
      </w:r>
      <w:r>
        <w:t xml:space="preserve">alteradas en la glucemia, motivado por la disminución de la acción de la</w:t>
      </w:r>
      <w:r>
        <w:t xml:space="preserve"> </w:t>
      </w:r>
      <w:r>
        <w:t xml:space="preserve">insulina.</w:t>
      </w:r>
    </w:p>
    <w:p>
      <w:pPr>
        <w:pStyle w:val="BodyText"/>
      </w:pPr>
      <w:r>
        <w:t xml:space="preserve">La relación entre la resistencia a la insulina y la edad ha sido</w:t>
      </w:r>
      <w:r>
        <w:t xml:space="preserve"> </w:t>
      </w:r>
      <w:r>
        <w:t xml:space="preserve">explicada por cuatro principales vías:</w:t>
      </w:r>
    </w:p>
    <w:p>
      <w:pPr>
        <w:pStyle w:val="Compact"/>
        <w:numPr>
          <w:numId w:val="1009"/>
          <w:ilvl w:val="0"/>
        </w:numPr>
      </w:pPr>
      <w:r>
        <w:t xml:space="preserve">Cambios antropométricos (aumento de masa grasa con disminución de</w:t>
      </w:r>
      <w:r>
        <w:t xml:space="preserve"> </w:t>
      </w:r>
      <w:r>
        <w:t xml:space="preserve">masa muscular).</w:t>
      </w:r>
    </w:p>
    <w:p>
      <w:pPr>
        <w:pStyle w:val="Compact"/>
        <w:numPr>
          <w:numId w:val="1009"/>
          <w:ilvl w:val="0"/>
        </w:numPr>
      </w:pPr>
      <w:r>
        <w:t xml:space="preserve">Cambios ambientales (hábitos dietéticos y disminución de actividad</w:t>
      </w:r>
      <w:r>
        <w:t xml:space="preserve"> </w:t>
      </w:r>
      <w:r>
        <w:t xml:space="preserve">física).</w:t>
      </w:r>
    </w:p>
    <w:p>
      <w:pPr>
        <w:pStyle w:val="Compact"/>
        <w:numPr>
          <w:numId w:val="1009"/>
          <w:ilvl w:val="0"/>
        </w:numPr>
      </w:pPr>
      <w:r>
        <w:t xml:space="preserve">Variaciones neurohormonales que pueden tener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09"/>
          <w:ilvl w:val="0"/>
        </w:numPr>
      </w:pPr>
      <w:r>
        <w:t xml:space="preserve">Aumento del estrés oxidativo.</w:t>
      </w:r>
    </w:p>
    <w:p>
      <w:pPr>
        <w:pStyle w:val="FirstParagraph"/>
      </w:pPr>
      <w:r>
        <w:t xml:space="preserve">A su vez, la diabetes tipo 2 se asoció con el mayor riesgo de padecer</w:t>
      </w:r>
      <w:r>
        <w:t xml:space="preserve"> </w:t>
      </w:r>
      <w:r>
        <w:t xml:space="preserve">sarcopenia; por lo que estas características pueden contribuir a la</w:t>
      </w:r>
      <w:r>
        <w:t xml:space="preserve"> </w:t>
      </w:r>
      <w:r>
        <w:t xml:space="preserve">discapacidad física y a los trastornos metabólicos en adultos mayores</w:t>
      </w:r>
      <w:r>
        <w:t xml:space="preserve"> </w:t>
      </w:r>
      <w:r>
        <w:t xml:space="preserve">con diabetes.</w:t>
      </w:r>
    </w:p>
    <w:p>
      <w:pPr>
        <w:pStyle w:val="Heading2"/>
      </w:pPr>
      <w:bookmarkStart w:id="52" w:name="tratamiento-y-prevención"/>
      <w:bookmarkEnd w:id="52"/>
      <w:r>
        <w:t xml:space="preserve">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Heading3"/>
      </w:pPr>
      <w:bookmarkStart w:id="53" w:name="relación-con-la-alimentación"/>
      <w:bookmarkEnd w:id="53"/>
      <w:r>
        <w:t xml:space="preserve">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54" w:name="hábitos-de-vida"/>
      <w:bookmarkEnd w:id="54"/>
      <w:r>
        <w:t xml:space="preserve">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sedentarismo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FirstParagraph"/>
      </w:pPr>
    </w:p>
    <w:p>
      <w:pPr>
        <w:pStyle w:val="Heading1"/>
      </w:pPr>
      <w:bookmarkStart w:id="55" w:name="material-y-métodos"/>
      <w:bookmarkEnd w:id="55"/>
      <w:r>
        <w:t xml:space="preserve">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56" w:name="resultados"/>
      <w:bookmarkEnd w:id="56"/>
      <w:r>
        <w:t xml:space="preserve">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Heading1"/>
      </w:pPr>
      <w:bookmarkStart w:id="57" w:name="discusión"/>
      <w:bookmarkEnd w:id="57"/>
      <w:r>
        <w:t xml:space="preserve">Discusión</w:t>
      </w:r>
    </w:p>
    <w:p>
      <w:pPr>
        <w:pStyle w:val="FirstParagraph"/>
      </w:pPr>
    </w:p>
    <w:p>
      <w:pPr>
        <w:pStyle w:val="Heading1"/>
      </w:pPr>
      <w:bookmarkStart w:id="58" w:name="conclusión"/>
      <w:bookmarkEnd w:id="58"/>
      <w:r>
        <w:t xml:space="preserve">Conclusión</w:t>
      </w:r>
    </w:p>
    <w:p>
      <w:pPr>
        <w:pStyle w:val="FirstParagraph"/>
      </w:pPr>
    </w:p>
    <w:p>
      <w:pPr>
        <w:pStyle w:val="Heading1"/>
      </w:pPr>
      <w:bookmarkStart w:id="59" w:name="bibliografía"/>
      <w:bookmarkEnd w:id="59"/>
      <w:r>
        <w:t xml:space="preserve">Bibliografía</w:t>
      </w:r>
    </w:p>
    <w:p>
      <w:pPr>
        <w:pStyle w:val="Compact"/>
        <w:numPr>
          <w:numId w:val="1013"/>
          <w:ilvl w:val="0"/>
        </w:numPr>
      </w:pPr>
      <w:hyperlink r:id="rId60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13"/>
          <w:ilvl w:val="0"/>
        </w:numPr>
      </w:pPr>
      <w:hyperlink r:id="rId61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13"/>
          <w:ilvl w:val="0"/>
        </w:numPr>
      </w:pPr>
      <w:hyperlink r:id="rId62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13"/>
          <w:ilvl w:val="0"/>
        </w:numPr>
      </w:pPr>
      <w:hyperlink r:id="rId63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13"/>
          <w:ilvl w:val="0"/>
        </w:numPr>
      </w:pPr>
      <w:hyperlink r:id="rId64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13"/>
          <w:ilvl w:val="0"/>
        </w:numPr>
      </w:pPr>
      <w:hyperlink r:id="rId65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13"/>
          <w:ilvl w:val="0"/>
        </w:numPr>
      </w:pPr>
      <w:hyperlink r:id="rId66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13"/>
          <w:ilvl w:val="0"/>
        </w:numPr>
      </w:pPr>
      <w:hyperlink r:id="rId67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4"/>
          <w:ilvl w:val="0"/>
        </w:numPr>
      </w:pPr>
      <w:hyperlink r:id="rId68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14"/>
          <w:ilvl w:val="0"/>
        </w:numPr>
      </w:pPr>
      <w:hyperlink r:id="rId69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14"/>
          <w:ilvl w:val="0"/>
        </w:numPr>
      </w:pPr>
      <w:hyperlink r:id="rId70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14"/>
          <w:ilvl w:val="0"/>
        </w:numPr>
      </w:pPr>
      <w:hyperlink r:id="rId71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14"/>
          <w:ilvl w:val="0"/>
        </w:numPr>
      </w:pPr>
      <w:hyperlink r:id="rId72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14"/>
          <w:ilvl w:val="0"/>
        </w:numPr>
      </w:pPr>
      <w:hyperlink r:id="rId73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14"/>
          <w:ilvl w:val="0"/>
        </w:numPr>
      </w:pPr>
      <w:hyperlink r:id="rId74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14"/>
          <w:ilvl w:val="0"/>
        </w:numPr>
      </w:pPr>
      <w:hyperlink r:id="rId75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14"/>
          <w:ilvl w:val="0"/>
        </w:numPr>
      </w:pPr>
      <w:hyperlink r:id="rId76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14"/>
          <w:ilvl w:val="0"/>
        </w:numPr>
      </w:pPr>
      <w:hyperlink r:id="rId77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14"/>
          <w:ilvl w:val="0"/>
        </w:numPr>
      </w:pPr>
      <w:hyperlink r:id="rId78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14"/>
          <w:ilvl w:val="0"/>
        </w:numPr>
      </w:pPr>
      <w:hyperlink r:id="rId79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14"/>
          <w:ilvl w:val="0"/>
        </w:numPr>
      </w:pPr>
      <w:hyperlink r:id="rId80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14"/>
          <w:ilvl w:val="0"/>
        </w:numPr>
      </w:pPr>
      <w:hyperlink r:id="rId81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14"/>
          <w:ilvl w:val="0"/>
        </w:numPr>
      </w:pPr>
      <w:hyperlink r:id="rId82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Heading1"/>
      </w:pPr>
      <w:bookmarkStart w:id="83" w:name="anexos"/>
      <w:bookmarkEnd w:id="83"/>
      <w:r>
        <w:t xml:space="preserve">Anexos</w:t>
      </w:r>
    </w:p>
    <w:p>
      <w:pPr>
        <w:pStyle w:val="Heading2"/>
      </w:pPr>
      <w:bookmarkStart w:id="84" w:name="vocabulario"/>
      <w:bookmarkEnd w:id="84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85" w:name="abreviaturas"/>
      <w:bookmarkEnd w:id="85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</w:t>
      </w:r>
    </w:p>
    <w:p>
      <w:pPr>
        <w:pStyle w:val="BodyText"/>
      </w:pPr>
      <w:r>
        <w:t xml:space="preserve">EGIR: European Group for the Study of Insulin Resistance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p>
      <w:pPr>
        <w:pStyle w:val="Heading1"/>
      </w:pPr>
      <w:bookmarkStart w:id="86" w:name="tablas"/>
      <w:bookmarkEnd w:id="86"/>
      <w:r>
        <w:t xml:space="preserve">Tablas</w:t>
      </w:r>
    </w:p>
    <w:p>
      <w:pPr>
        <w:pStyle w:val="Heading2"/>
      </w:pPr>
      <w:bookmarkStart w:id="87" w:name="evolución-histórica-de-los-criterios-del-síndrome-metabólico"/>
      <w:bookmarkEnd w:id="87"/>
      <w:r>
        <w:t xml:space="preserve">Evolución histórica de los criterios del síndrome metabólico</w:t>
      </w:r>
    </w:p>
    <w:tbl>
      <w:tblPr>
        <w:tblStyle w:val="TableNormal"/>
        <w:tblW w:type="pct" w:w="4985.67335243553"/>
        <w:tblLook w:firstRow="1"/>
      </w:tblPr>
      <w:tblGrid>
        <w:gridCol w:w="2394"/>
        <w:gridCol w:w="2632"/>
        <w:gridCol w:w="487"/>
        <w:gridCol w:w="23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 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 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 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 Panel on Detection, Evaluation, and Treatment of High Blood Cholesterol in 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 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 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 Panel on Detection, Evaluation, and Treatment of High Blood Cholesterol in 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 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 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 on Epidemiology and Prevention National Heart,Lung, and Blood Institute American Heart Association World Heart Federation International Atherosclerosis Society and International</w:t>
            </w:r>
            <w:r>
              <w:t xml:space="preserve"> </w:t>
            </w:r>
            <w:r>
              <w:t xml:space="preserve">Association for 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Heading2"/>
      </w:pPr>
      <w:bookmarkStart w:id="88" w:name="indice-de-masa-corporal-circunferencia-abdominal-y-riesgo-de-enfermedad-cardiovascular"/>
      <w:bookmarkEnd w:id="88"/>
      <w:r>
        <w:t xml:space="preserve">Indice de Masa Corporal, Circunferencia Abdominal y Riesgo de Enfermedad Cardiovascular</w:t>
      </w:r>
    </w:p>
    <w:tbl>
      <w:tblPr>
        <w:tblStyle w:val="TableNormal"/>
        <w:tblW w:type="pct" w:w="4888.88888888889"/>
        <w:tblLook w:firstRow="1"/>
      </w:tblPr>
      <w:tblGrid>
        <w:gridCol w:w="1496"/>
        <w:gridCol w:w="1496"/>
        <w:gridCol w:w="2376"/>
        <w:gridCol w:w="237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 cm Mujeres</w:t>
            </w:r>
            <w:r>
              <w:t xml:space="preserve"> </w:t>
            </w:r>
            <w:r>
              <w:t xml:space="preserve">&lt; 88 cm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 cm Mujeres</w:t>
            </w:r>
            <w:r>
              <w:t xml:space="preserve"> </w:t>
            </w:r>
            <w:r>
              <w:t xml:space="preserve">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p>
      <w:pPr>
        <w:pStyle w:val="Heading2"/>
      </w:pPr>
      <w:bookmarkStart w:id="89" w:name="grupo-europeo-para-el-estudio-de-la-resistencia-a-la-insulina---egir"/>
      <w:bookmarkEnd w:id="89"/>
      <w:r>
        <w:t xml:space="preserve">Grupo Europeo para el Estudio de la Resistencia a la Insulina - EGIR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Heading2"/>
      </w:pPr>
      <w:bookmarkStart w:id="90" w:name="criterios-atp-iii-para-el-diagnóstico-del-síndrome-metabólico"/>
      <w:bookmarkEnd w:id="90"/>
      <w:r>
        <w:t xml:space="preserve">Criterios ATP III para el diagnóstico del síndrome metabólico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Factor de riesgo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Obesidad abdominal: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Triglicéridos: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Colesterol-DHL: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Presión arterial: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Grucosa en ayunas: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t xml:space="preserve">El síndrome metabólico está presente cuando se cumblen tres o más de los</w:t>
      </w:r>
      <w:r>
        <w:t xml:space="preserve"> </w:t>
      </w:r>
      <w:r>
        <w:t xml:space="preserve">cinco criterios.</w:t>
      </w:r>
    </w:p>
    <w:p>
      <w:pPr>
        <w:pStyle w:val="Heading2"/>
      </w:pPr>
      <w:bookmarkStart w:id="91" w:name="criterios-de-la-idf-international-diabetes-federation-2006."/>
      <w:bookmarkEnd w:id="91"/>
      <w:r>
        <w:t xml:space="preserve">Criterios de la IDF (International Diabetes Federation (2006).</w:t>
      </w:r>
    </w:p>
    <w:tbl>
      <w:tblPr>
        <w:tblStyle w:val="TableNormal"/>
        <w:tblW w:type="pct" w:w="4928.571428571428"/>
        <w:tblLook w:firstRow="1"/>
      </w:tblPr>
      <w:tblGrid>
        <w:gridCol w:w="3903"/>
        <w:gridCol w:w="390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Para diagnosticar SM la persona debe tener: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1. Obesidad Central definida por los valores de la circunferencia</w:t>
            </w:r>
            <w:r>
              <w:t xml:space="preserve"> </w:t>
            </w:r>
            <w:r>
              <w:t xml:space="preserve">abdominal de acuerdo a la especificidad étnica.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2. Dos de los cuatro factores que se indican a continuación.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Hipertrigliceridemia</w:t>
            </w:r>
          </w:p>
        </w:tc>
        <w:tc>
          <w:p>
            <w:pPr>
              <w:pStyle w:val="Compact"/>
              <w:jc w:val="left"/>
            </w:pPr>
            <w:r>
              <w:t xml:space="preserve">= 150 mg/dL (1.7 mmol/L) o en tratamiento para patología lipídica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Disminución de las cifras de Colesterol – HDL</w:t>
            </w:r>
          </w:p>
        </w:tc>
        <w:tc>
          <w:p>
            <w:pPr>
              <w:pStyle w:val="Compact"/>
              <w:jc w:val="left"/>
            </w:pPr>
            <w:r>
              <w:t xml:space="preserve">&lt; 40 mg/dL (1.03 mmol/L) en hombres &lt; 50 mg/dL (1.29 mmol/L)</w:t>
            </w:r>
            <w:r>
              <w:t xml:space="preserve"> </w:t>
            </w:r>
            <w:r>
              <w:t xml:space="preserve">en mujeres o estar en tratamiento por esta patología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Aumento de la 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Sistólica = 130 - Diastolica = 85 mm Hg En tratamiento por HTA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Hiperglucemia en ayunas</w:t>
            </w:r>
          </w:p>
        </w:tc>
        <w:tc>
          <w:p>
            <w:pPr>
              <w:pStyle w:val="Compact"/>
              <w:jc w:val="left"/>
            </w:pPr>
            <w:r>
              <w:t xml:space="preserve">Glicemia en ayunas = 100 mg/dL (5.6 mmol/L), Si el valor es mayor de</w:t>
            </w:r>
            <w:r>
              <w:t xml:space="preserve"> </w:t>
            </w:r>
            <w:r>
              <w:t xml:space="preserve">100 mg/dL se sugiere hacer CTG. Diagnóstico previo de DM tipo 2*</w:t>
            </w:r>
          </w:p>
        </w:tc>
      </w:tr>
    </w:tbl>
    <w:p>
      <w:pPr>
        <w:pStyle w:val="Heading2"/>
      </w:pPr>
      <w:bookmarkStart w:id="92" w:name="asociación-americana-de-endocrinología-ace"/>
      <w:bookmarkEnd w:id="92"/>
      <w:r>
        <w:t xml:space="preserve">Asociación americana de endocrinología ACE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right"/>
            </w:pPr>
            <w:r>
              <w:t xml:space="preserve">Glucosa plasmática: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Hombres: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Mujeres: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Heading2"/>
      </w:pPr>
      <w:bookmarkStart w:id="93" w:name="aec-factores-riesgo"/>
      <w:bookmarkEnd w:id="93"/>
      <w:r>
        <w:t xml:space="preserve">AEC FACTORES RIESGO</w:t>
      </w:r>
    </w:p>
    <w:tbl>
      <w:tblPr>
        <w:tblStyle w:val="TableNormal"/>
        <w:tblW w:type="pct" w:w="3958.3333333333335"/>
        <w:tblLook/>
      </w:tblPr>
      <w:tblGrid>
        <w:gridCol w:w="3960"/>
        <w:gridCol w:w="2310"/>
      </w:tblGrid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mellitus 2, hipertensión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arterial o enfermedad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glucosa o 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94" w:name="criterios-diagnósticos-ncep-atp-iii"/>
      <w:bookmarkEnd w:id="94"/>
      <w:r>
        <w:t xml:space="preserve">Criterios diagnósticos NCEP-ATP III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Obesidad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 &gt;102 cm Mujeres &gt; 88 cm**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Presión Arterial ( = 130 / 85)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 = 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HDL-Col Hombres &lt; 40 Mujeres &lt; 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Glucosa Sanguínea en ayunas = 110 mg/dL</w:t>
            </w:r>
          </w:p>
        </w:tc>
      </w:tr>
    </w:tbl>
    <w:p>
      <w:pPr>
        <w:pStyle w:val="Heading2"/>
      </w:pPr>
      <w:bookmarkStart w:id="95" w:name="valores-de-circunferencia-abdominal-indicándose-la-especificidad-étnica"/>
      <w:bookmarkEnd w:id="95"/>
      <w:r>
        <w:t xml:space="preserve">Valores de circunferencia abdominal indicándose la especificidad étnica</w:t>
      </w:r>
    </w:p>
    <w:tbl>
      <w:tblPr>
        <w:tblStyle w:val="TableNormal"/>
        <w:tblW w:type="pct" w:w="4870.12987012987"/>
        <w:tblLook/>
      </w:tblPr>
      <w:tblGrid>
        <w:gridCol w:w="2571"/>
        <w:gridCol w:w="2571"/>
        <w:gridCol w:w="2571"/>
      </w:tblGrid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center"/>
            </w:pPr>
            <w:r>
              <w:t xml:space="preserve">Hombres = 94 cm</w:t>
            </w:r>
          </w:p>
        </w:tc>
        <w:tc>
          <w:p>
            <w:pPr>
              <w:pStyle w:val="Compact"/>
              <w:jc w:val="center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</w:t>
            </w:r>
            <w:r>
              <w:t xml:space="preserve"> </w:t>
            </w:r>
            <w:r>
              <w:t xml:space="preserve">con ATP III</w:t>
            </w:r>
          </w:p>
        </w:tc>
        <w:tc>
          <w:p>
            <w:pPr>
              <w:pStyle w:val="Compact"/>
              <w:jc w:val="center"/>
            </w:pPr>
            <w:r>
              <w:t xml:space="preserve">Hombres = 102 cm</w:t>
            </w:r>
          </w:p>
        </w:tc>
        <w:tc>
          <w:p>
            <w:pPr>
              <w:pStyle w:val="Compact"/>
              <w:jc w:val="center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</w:t>
            </w:r>
            <w:r>
              <w:t xml:space="preserve"> </w:t>
            </w:r>
            <w:r>
              <w:t xml:space="preserve">basados en las</w:t>
            </w:r>
            <w:r>
              <w:t xml:space="preserve"> </w:t>
            </w:r>
            <w:r>
              <w:t xml:space="preserve">poblaciones Chinas,</w:t>
            </w:r>
            <w:r>
              <w:t xml:space="preserve"> </w:t>
            </w:r>
            <w:r>
              <w:t xml:space="preserve">Malaya y Asiático-Indú</w:t>
            </w:r>
          </w:p>
        </w:tc>
        <w:tc>
          <w:p>
            <w:pPr>
              <w:pStyle w:val="Compact"/>
              <w:jc w:val="center"/>
            </w:pPr>
            <w:r>
              <w:t xml:space="preserve">Hombres = 90 cm</w:t>
            </w:r>
          </w:p>
        </w:tc>
        <w:tc>
          <w:p>
            <w:pPr>
              <w:pStyle w:val="Compact"/>
              <w:jc w:val="center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center"/>
            </w:pPr>
            <w:r>
              <w:t xml:space="preserve">Hombres = 90 cm</w:t>
            </w:r>
          </w:p>
        </w:tc>
        <w:tc>
          <w:p>
            <w:pPr>
              <w:pStyle w:val="Compact"/>
              <w:jc w:val="center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center"/>
            </w:pPr>
            <w:r>
              <w:t xml:space="preserve">Hombres = 90 cm</w:t>
            </w:r>
          </w:p>
        </w:tc>
        <w:tc>
          <w:p>
            <w:pPr>
              <w:pStyle w:val="Compact"/>
              <w:jc w:val="center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</w:t>
            </w:r>
            <w:r>
              <w:t xml:space="preserve"> </w:t>
            </w:r>
            <w:r>
              <w:t xml:space="preserve">América</w:t>
            </w:r>
          </w:p>
        </w:tc>
        <w:tc>
          <w:p>
            <w:pPr>
              <w:pStyle w:val="Compact"/>
              <w:jc w:val="center"/>
            </w:pPr>
            <w:r>
              <w:t xml:space="preserve">Usar las recomendaciones</w:t>
            </w:r>
            <w:r>
              <w:t xml:space="preserve"> </w:t>
            </w:r>
            <w:r>
              <w:t xml:space="preserve">para Asiahasta tener</w:t>
            </w:r>
            <w:r>
              <w:t xml:space="preserve"> </w:t>
            </w:r>
            <w:r>
              <w:t xml:space="preserve">nueva 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center"/>
            </w:pPr>
            <w:r>
              <w:t xml:space="preserve">Usar los datos europeos</w:t>
            </w:r>
            <w:r>
              <w:t xml:space="preserve"> </w:t>
            </w:r>
            <w:r>
              <w:t xml:space="preserve">hasta 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</w:t>
            </w:r>
            <w:r>
              <w:t xml:space="preserve"> </w:t>
            </w:r>
            <w:r>
              <w:t xml:space="preserve">Mediterráneo.</w:t>
            </w:r>
          </w:p>
        </w:tc>
        <w:tc>
          <w:p>
            <w:pPr>
              <w:pStyle w:val="Compact"/>
              <w:jc w:val="center"/>
            </w:pPr>
            <w:r>
              <w:t xml:space="preserve">Usar los datos europeos</w:t>
            </w:r>
            <w:r>
              <w:t xml:space="preserve"> </w:t>
            </w:r>
            <w:r>
              <w:t xml:space="preserve">hasta 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3141c5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3c08bc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03ac39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50" Target="/docs/documentacion/Obesidad_y_sindrome_metabolico.pdf" TargetMode="External" /><Relationship Type="http://schemas.openxmlformats.org/officeDocument/2006/relationships/hyperlink" Id="rId70" Target="http://dspace.utalca.cl/handle/1950/4714" TargetMode="External" /><Relationship Type="http://schemas.openxmlformats.org/officeDocument/2006/relationships/hyperlink" Id="rId64" Target="http://hdl.handle.net/2183/16548" TargetMode="External" /><Relationship Type="http://schemas.openxmlformats.org/officeDocument/2006/relationships/hyperlink" Id="rId66" Target="http://scielo.isciii.es/scielo.php?script=sci_arttext&amp;pid=S0212-16112017000500013&amp;lng=es&amp;nrm=iso" TargetMode="External" /><Relationship Type="http://schemas.openxmlformats.org/officeDocument/2006/relationships/hyperlink" Id="rId62" Target="http://scielo.isciii.es/scielo.php?script=sci_arttext&amp;pid=S1137-66272016000200009&amp;lng=es&amp;nrm=iso" TargetMode="External" /><Relationship Type="http://schemas.openxmlformats.org/officeDocument/2006/relationships/hyperlink" Id="rId60" Target="http://scielo.sld.cu/scielo.php?script=sci_arttext&amp;pid=S1561-29532006000300006" TargetMode="External" /><Relationship Type="http://schemas.openxmlformats.org/officeDocument/2006/relationships/hyperlink" Id="rId65" Target="http://ve.scielo.org/scielo.php?script=sci_arttext&amp;pid=S0048-77322011000200002&amp;lng=es&amp;nrm=iso" TargetMode="External" /><Relationship Type="http://schemas.openxmlformats.org/officeDocument/2006/relationships/hyperlink" Id="rId63" Target="http://ve.scielo.org/scielo.php?script=sci_arttext&amp;pid=S0798-07522007000200006" TargetMode="External" /><Relationship Type="http://schemas.openxmlformats.org/officeDocument/2006/relationships/hyperlink" Id="rId77" Target="http://www.scielo.org.pe/scielo.php?script=sci_arttext&amp;pid=S1025-55832020000100092&amp;lng=es" TargetMode="External" /><Relationship Type="http://schemas.openxmlformats.org/officeDocument/2006/relationships/hyperlink" Id="rId69" Target="https://doi.org/10.1373/clinchem.2005.048611" TargetMode="External" /><Relationship Type="http://schemas.openxmlformats.org/officeDocument/2006/relationships/hyperlink" Id="rId72" Target="https://isanidad.com/67663/la-falta-de-sueno-puede-disminuir-el-colesterol-bueno/" TargetMode="External" /><Relationship Type="http://schemas.openxmlformats.org/officeDocument/2006/relationships/hyperlink" Id="rId74" Target="https://middlesexhealth.org/learning-center/espanol/enfermedades-y-afecciones/s-ndrome-metab-lico" TargetMode="External" /><Relationship Type="http://schemas.openxmlformats.org/officeDocument/2006/relationships/hyperlink" Id="rId71" Target="https://ruc.udc.es/dspace/handle/2183/16548" TargetMode="External" /><Relationship Type="http://schemas.openxmlformats.org/officeDocument/2006/relationships/hyperlink" Id="rId78" Target="https://scielo.isciii.es/scielo.php?script=sci_arttext&amp;pid=S0212-16112017000500013" TargetMode="External" /><Relationship Type="http://schemas.openxmlformats.org/officeDocument/2006/relationships/hyperlink" Id="rId81" Target="https://scielo.isciii.es/scielo.php?script=sci_arttext&amp;pid=S0212-71992008000700003" TargetMode="External" /><Relationship Type="http://schemas.openxmlformats.org/officeDocument/2006/relationships/hyperlink" Id="rId73" Target="https://www.cun.es/enfermedades-tratamientos/enfermedades/sindrome-metabolico" TargetMode="External" /><Relationship Type="http://schemas.openxmlformats.org/officeDocument/2006/relationships/hyperlink" Id="rId80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8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82" Target="https://www.flasog.org/static/academica/Sindrome-Metabolico.pdf" TargetMode="External" /><Relationship Type="http://schemas.openxmlformats.org/officeDocument/2006/relationships/hyperlink" Id="rId75" Target="https://www.mayoclinic.org/es-es/diseases-conditions/metabolic-syndrome/diagnosis-treatment/drc-20351921" TargetMode="External" /><Relationship Type="http://schemas.openxmlformats.org/officeDocument/2006/relationships/hyperlink" Id="rId76" Target="https://www.mayoclinic.org/es-es/diseases-conditions/metabolic-syndrome/symptoms-causes/syc-20351916" TargetMode="External" /><Relationship Type="http://schemas.openxmlformats.org/officeDocument/2006/relationships/hyperlink" Id="rId79" Target="https://www.pediatriaintegral.es/publicacion-2015-07/sindrome-metabolico/" TargetMode="External" /><Relationship Type="http://schemas.openxmlformats.org/officeDocument/2006/relationships/hyperlink" Id="rId61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7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0" Target="/docs/documentacion/Obesidad_y_sindrome_metabolico.pdf" TargetMode="External" /><Relationship Type="http://schemas.openxmlformats.org/officeDocument/2006/relationships/hyperlink" Id="rId70" Target="http://dspace.utalca.cl/handle/1950/4714" TargetMode="External" /><Relationship Type="http://schemas.openxmlformats.org/officeDocument/2006/relationships/hyperlink" Id="rId64" Target="http://hdl.handle.net/2183/16548" TargetMode="External" /><Relationship Type="http://schemas.openxmlformats.org/officeDocument/2006/relationships/hyperlink" Id="rId66" Target="http://scielo.isciii.es/scielo.php?script=sci_arttext&amp;pid=S0212-16112017000500013&amp;lng=es&amp;nrm=iso" TargetMode="External" /><Relationship Type="http://schemas.openxmlformats.org/officeDocument/2006/relationships/hyperlink" Id="rId62" Target="http://scielo.isciii.es/scielo.php?script=sci_arttext&amp;pid=S1137-66272016000200009&amp;lng=es&amp;nrm=iso" TargetMode="External" /><Relationship Type="http://schemas.openxmlformats.org/officeDocument/2006/relationships/hyperlink" Id="rId60" Target="http://scielo.sld.cu/scielo.php?script=sci_arttext&amp;pid=S1561-29532006000300006" TargetMode="External" /><Relationship Type="http://schemas.openxmlformats.org/officeDocument/2006/relationships/hyperlink" Id="rId65" Target="http://ve.scielo.org/scielo.php?script=sci_arttext&amp;pid=S0048-77322011000200002&amp;lng=es&amp;nrm=iso" TargetMode="External" /><Relationship Type="http://schemas.openxmlformats.org/officeDocument/2006/relationships/hyperlink" Id="rId63" Target="http://ve.scielo.org/scielo.php?script=sci_arttext&amp;pid=S0798-07522007000200006" TargetMode="External" /><Relationship Type="http://schemas.openxmlformats.org/officeDocument/2006/relationships/hyperlink" Id="rId77" Target="http://www.scielo.org.pe/scielo.php?script=sci_arttext&amp;pid=S1025-55832020000100092&amp;lng=es" TargetMode="External" /><Relationship Type="http://schemas.openxmlformats.org/officeDocument/2006/relationships/hyperlink" Id="rId69" Target="https://doi.org/10.1373/clinchem.2005.048611" TargetMode="External" /><Relationship Type="http://schemas.openxmlformats.org/officeDocument/2006/relationships/hyperlink" Id="rId72" Target="https://isanidad.com/67663/la-falta-de-sueno-puede-disminuir-el-colesterol-bueno/" TargetMode="External" /><Relationship Type="http://schemas.openxmlformats.org/officeDocument/2006/relationships/hyperlink" Id="rId74" Target="https://middlesexhealth.org/learning-center/espanol/enfermedades-y-afecciones/s-ndrome-metab-lico" TargetMode="External" /><Relationship Type="http://schemas.openxmlformats.org/officeDocument/2006/relationships/hyperlink" Id="rId71" Target="https://ruc.udc.es/dspace/handle/2183/16548" TargetMode="External" /><Relationship Type="http://schemas.openxmlformats.org/officeDocument/2006/relationships/hyperlink" Id="rId78" Target="https://scielo.isciii.es/scielo.php?script=sci_arttext&amp;pid=S0212-16112017000500013" TargetMode="External" /><Relationship Type="http://schemas.openxmlformats.org/officeDocument/2006/relationships/hyperlink" Id="rId81" Target="https://scielo.isciii.es/scielo.php?script=sci_arttext&amp;pid=S0212-71992008000700003" TargetMode="External" /><Relationship Type="http://schemas.openxmlformats.org/officeDocument/2006/relationships/hyperlink" Id="rId73" Target="https://www.cun.es/enfermedades-tratamientos/enfermedades/sindrome-metabolico" TargetMode="External" /><Relationship Type="http://schemas.openxmlformats.org/officeDocument/2006/relationships/hyperlink" Id="rId80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8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82" Target="https://www.flasog.org/static/academica/Sindrome-Metabolico.pdf" TargetMode="External" /><Relationship Type="http://schemas.openxmlformats.org/officeDocument/2006/relationships/hyperlink" Id="rId75" Target="https://www.mayoclinic.org/es-es/diseases-conditions/metabolic-syndrome/diagnosis-treatment/drc-20351921" TargetMode="External" /><Relationship Type="http://schemas.openxmlformats.org/officeDocument/2006/relationships/hyperlink" Id="rId76" Target="https://www.mayoclinic.org/es-es/diseases-conditions/metabolic-syndrome/symptoms-causes/syc-20351916" TargetMode="External" /><Relationship Type="http://schemas.openxmlformats.org/officeDocument/2006/relationships/hyperlink" Id="rId79" Target="https://www.pediatriaintegral.es/publicacion-2015-07/sindrome-metabolico/" TargetMode="External" /><Relationship Type="http://schemas.openxmlformats.org/officeDocument/2006/relationships/hyperlink" Id="rId61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7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2022-02-07T19:41:36Z</dcterms:created>
  <dcterms:modified xsi:type="dcterms:W3CDTF">2022-02-07T19:41:36Z</dcterms:modified>
</cp:coreProperties>
</file>