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3"/>
      </w:pPr>
      <w:bookmarkStart w:id="37" w:name="sm-en-la-infrancia"/>
      <w:bookmarkEnd w:id="37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FirstParagraph"/>
      </w:pP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diez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macrosomía. Por otro lado el bajo peso al nacer va asociado a embarazos</w:t>
      </w:r>
      <w:r>
        <w:t xml:space="preserve"> </w:t>
      </w:r>
      <w:r>
        <w:t xml:space="preserve">de mujeres con edades avanzadas. Y los hijos de mujeres con diabetes</w:t>
      </w:r>
      <w:r>
        <w:t xml:space="preserve"> </w:t>
      </w:r>
      <w:r>
        <w:t xml:space="preserve">tipo 1 tienen predisposición al desarrollo de enfermedades</w:t>
      </w:r>
      <w:r>
        <w:t xml:space="preserve"> </w:t>
      </w:r>
      <w:r>
        <w:t xml:space="preserve">cardiovasculares durante la infancia.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Podría decirse que la DG es una manifestación temprana del SM en la</w:t>
      </w:r>
      <w:r>
        <w:t xml:space="preserve"> </w:t>
      </w:r>
      <w:r>
        <w:t xml:space="preserve">mujer. La resistencia a la insulina, característica del embarazo, puede</w:t>
      </w:r>
      <w:r>
        <w:t xml:space="preserve"> </w:t>
      </w:r>
      <w:r>
        <w:t xml:space="preserve">resultar en DG.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Heading4"/>
      </w:pPr>
      <w:bookmarkStart w:id="42" w:name="complicaciones-materno-fetales-1"/>
      <w:bookmarkEnd w:id="42"/>
      <w:r>
        <w:t xml:space="preserve">Complicaciones materno-fetales</w:t>
      </w:r>
    </w:p>
    <w:p>
      <w:pPr>
        <w:pStyle w:val="FirstParagraph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3" w:name="consecuencias-a-largo-plazo-para-la-mujer"/>
      <w:bookmarkEnd w:id="43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4" w:name="consecuencias-para-el-feto"/>
      <w:bookmarkEnd w:id="44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 y se ha sugerido que puede ser un recurso adicional para</w:t>
      </w:r>
      <w:r>
        <w:t xml:space="preserve"> </w:t>
      </w:r>
      <w:r>
        <w:t xml:space="preserve">monitorizar el SM. Por otro lado el bajo peso al nacer va asociado a</w:t>
      </w:r>
      <w:r>
        <w:t xml:space="preserve"> </w:t>
      </w:r>
      <w:r>
        <w:t xml:space="preserve">embarazos de mujeres con edades avanzadas. Y los hijos de mujeres con</w:t>
      </w:r>
      <w:r>
        <w:t xml:space="preserve"> </w:t>
      </w:r>
      <w:r>
        <w:t xml:space="preserve">diabetes tipo 1 tienen predisposición al desarrollo de enfermedades</w:t>
      </w:r>
      <w:r>
        <w:t xml:space="preserve"> </w:t>
      </w:r>
      <w:r>
        <w:t xml:space="preserve">cardiovasculares durante la infancia.</w:t>
      </w:r>
    </w:p>
    <w:p>
      <w:pPr>
        <w:pStyle w:val="BodyText"/>
      </w:pPr>
      <w:r>
        <w:t xml:space="preserve">No encontramos relación entre el SM y la asfixia, el trauma neonatal, el</w:t>
      </w:r>
      <w:r>
        <w:t xml:space="preserve"> </w:t>
      </w:r>
      <w:r>
        <w:t xml:space="preserve">ingreso a la unidad de terapia intensiva neonatal (UTIN), la</w:t>
      </w:r>
      <w:r>
        <w:t xml:space="preserve"> </w:t>
      </w:r>
      <w:r>
        <w:t xml:space="preserve">trombocitopenia y el alto peso al nacer.</w:t>
      </w:r>
    </w:p>
    <w:p>
      <w:pPr>
        <w:pStyle w:val="Heading5"/>
      </w:pPr>
      <w:bookmarkStart w:id="45" w:name="prevención"/>
      <w:bookmarkEnd w:id="45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6" w:name="menopausia"/>
      <w:bookmarkEnd w:id="46"/>
      <w:r>
        <w:t xml:space="preserve">Menopausia</w:t>
      </w:r>
    </w:p>
    <w:p>
      <w:pPr>
        <w:pStyle w:val="SourceCode"/>
      </w:pPr>
      <w:r>
        <w:rPr>
          <w:rStyle w:val="VerbatimChar"/>
        </w:rPr>
        <w:t xml:space="preserve">**Diagnóstico diabetes gestacional**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Comité de expertos de la Organización Mundial de la Salud (OMS) recomienda el **diagnóstico de DG a través de una prueba basada en una sobrecarga glucosada similar a la utilizada en adultos fuera del embarazo**.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Después de tres días de una dieta libre con una ingesta mayor de 150 g de glucosa diaria, se toma una muestra en ayunas y se administra 75 g de glucosa oral para luego tomar una muestra de sangre dos horas después.  </w:t>
      </w:r>
      <w:r>
        <w:br w:type="textWrapping"/>
      </w:r>
      <w:r>
        <w:rPr>
          <w:rStyle w:val="VerbatimChar"/>
        </w:rPr>
        <w:t xml:space="preserve">  - La respuesta normal a las dos horas debe ser menor de 140 mg/dL</w:t>
      </w:r>
      <w:r>
        <w:br w:type="textWrapping"/>
      </w:r>
      <w:r>
        <w:rPr>
          <w:rStyle w:val="VerbatimChar"/>
        </w:rPr>
        <w:t xml:space="preserve">  - si la glicemia se encuentra entre 140 mg/dL y 199 mg/dL, existe una intolerancia de la glucosa en la gestación (IGG)</w:t>
      </w:r>
      <w:r>
        <w:br w:type="textWrapping"/>
      </w:r>
      <w:r>
        <w:rPr>
          <w:rStyle w:val="VerbatimChar"/>
        </w:rPr>
        <w:t xml:space="preserve">  - si la glucosa excede los 200 mg/dL la prueba es diagnóstica de DG</w:t>
      </w:r>
    </w:p>
    <w:p>
      <w:pPr>
        <w:pStyle w:val="Heading3"/>
      </w:pPr>
      <w:bookmarkStart w:id="47" w:name="sm-en-la-tercera-edad"/>
      <w:bookmarkEnd w:id="47"/>
      <w:r>
        <w:t xml:space="preserve">SM en la tercera edad</w:t>
      </w:r>
    </w:p>
    <w:p>
      <w:pPr>
        <w:pStyle w:val="FirstParagraph"/>
      </w:pP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8" w:name="por-grupos-de-población"/>
      <w:bookmarkEnd w:id="48"/>
      <w:r>
        <w:t xml:space="preserve">Por grupos de población</w:t>
      </w:r>
    </w:p>
    <w:p>
      <w:pPr>
        <w:pStyle w:val="Heading2"/>
      </w:pPr>
      <w:bookmarkStart w:id="49" w:name="tratamiento-y-prevención"/>
      <w:bookmarkEnd w:id="49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0" w:name="relación-con-la-alimentación"/>
      <w:bookmarkEnd w:id="50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1" w:name="hábitos-de-vida"/>
      <w:bookmarkEnd w:id="51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1"/>
      </w:pPr>
      <w:bookmarkStart w:id="52" w:name="material-y-métodos"/>
      <w:bookmarkEnd w:id="52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4" w:name="discusión"/>
      <w:bookmarkEnd w:id="54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5" w:name="conclusión"/>
      <w:bookmarkEnd w:id="55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7" w:name="section"/>
      <w:bookmarkEnd w:id="57"/>
      <w:r>
        <w:t xml:space="preserve">1</w:t>
      </w:r>
    </w:p>
    <w:p>
      <w:pPr>
        <w:pStyle w:val="FirstParagraph"/>
      </w:pPr>
      <w:hyperlink r:id="rId5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9" w:name="section-1"/>
      <w:bookmarkEnd w:id="59"/>
      <w:r>
        <w:t xml:space="preserve">2</w:t>
      </w:r>
    </w:p>
    <w:p>
      <w:pPr>
        <w:pStyle w:val="FirstParagraph"/>
      </w:pPr>
      <w:hyperlink r:id="rId6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61" w:name="section-2"/>
      <w:bookmarkEnd w:id="61"/>
      <w:r>
        <w:t xml:space="preserve">3</w:t>
      </w:r>
    </w:p>
    <w:p>
      <w:pPr>
        <w:pStyle w:val="FirstParagraph"/>
      </w:pPr>
      <w:hyperlink r:id="rId62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63" w:name="section-3"/>
      <w:bookmarkEnd w:id="63"/>
      <w:r>
        <w:t xml:space="preserve">4</w:t>
      </w:r>
    </w:p>
    <w:p>
      <w:pPr>
        <w:pStyle w:val="FirstParagraph"/>
      </w:pPr>
      <w:hyperlink r:id="rId64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5" w:name="section-4"/>
      <w:bookmarkEnd w:id="65"/>
      <w:r>
        <w:t xml:space="preserve">5</w:t>
      </w:r>
    </w:p>
    <w:p>
      <w:pPr>
        <w:pStyle w:val="FirstParagraph"/>
      </w:pPr>
      <w:hyperlink r:id="rId6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7" w:name="section-5"/>
      <w:bookmarkEnd w:id="67"/>
      <w:r>
        <w:t xml:space="preserve">6</w:t>
      </w:r>
    </w:p>
    <w:p>
      <w:pPr>
        <w:pStyle w:val="FirstParagraph"/>
      </w:pPr>
      <w:hyperlink r:id="rId68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80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81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82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83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4" w:name="anexos"/>
      <w:bookmarkEnd w:id="84"/>
      <w:r>
        <w:t xml:space="preserve">Anexos</w:t>
      </w:r>
    </w:p>
    <w:p>
      <w:pPr>
        <w:pStyle w:val="Heading2"/>
      </w:pPr>
      <w:bookmarkStart w:id="85" w:name="vocabulario"/>
      <w:bookmarkEnd w:id="8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6" w:name="abreviaturas"/>
      <w:bookmarkEnd w:id="8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7" w:name="glosario"/>
      <w:bookmarkEnd w:id="87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88" w:name="tablas"/>
      <w:bookmarkEnd w:id="88"/>
      <w:r>
        <w:t xml:space="preserve">Tablas</w:t>
      </w:r>
    </w:p>
    <w:p>
      <w:pPr>
        <w:pStyle w:val="Heading5"/>
      </w:pPr>
      <w:bookmarkStart w:id="89" w:name="tabla-1"/>
      <w:bookmarkEnd w:id="8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90" w:name="tabla-2"/>
      <w:bookmarkEnd w:id="9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91" w:name="tabla-3"/>
      <w:bookmarkEnd w:id="9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92" w:name="tabla-4"/>
      <w:bookmarkEnd w:id="9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93" w:name="tabla-5"/>
      <w:bookmarkEnd w:id="9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16d3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d24e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d5a166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1" Target="http://dspace.utalca.cl/handle/1950/4714" TargetMode="External" /><Relationship Type="http://schemas.openxmlformats.org/officeDocument/2006/relationships/hyperlink" Id="rId66" Target="http://hdl.handle.net/2183/16548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8" Target="http://ve.scielo.org/scielo.php?script=sci_arttext&amp;pid=S0048-77322011000200002&amp;lng=es&amp;nrm=iso" TargetMode="External" /><Relationship Type="http://schemas.openxmlformats.org/officeDocument/2006/relationships/hyperlink" Id="rId64" Target="http://ve.scielo.org/scielo.php?script=sci_arttext&amp;pid=S0798-07522007000200006" TargetMode="External" /><Relationship Type="http://schemas.openxmlformats.org/officeDocument/2006/relationships/hyperlink" Id="rId78" Target="http://www.scielo.org.pe/scielo.php?script=sci_arttext&amp;pid=S1025-55832020000100092&amp;lng=es" TargetMode="External" /><Relationship Type="http://schemas.openxmlformats.org/officeDocument/2006/relationships/hyperlink" Id="rId70" Target="https://doi.org/10.1373/clinchem.2005.048611" TargetMode="External" /><Relationship Type="http://schemas.openxmlformats.org/officeDocument/2006/relationships/hyperlink" Id="rId73" Target="https://isanidad.com/67663/la-falta-de-sueno-puede-disminuir-el-colesterol-bueno/" TargetMode="External" /><Relationship Type="http://schemas.openxmlformats.org/officeDocument/2006/relationships/hyperlink" Id="rId75" Target="https://middlesexhealth.org/learning-center/espanol/enfermedades-y-afecciones/s-ndrome-metab-lico" TargetMode="External" /><Relationship Type="http://schemas.openxmlformats.org/officeDocument/2006/relationships/hyperlink" Id="rId72" Target="https://ruc.udc.es/dspace/handle/2183/16548" TargetMode="External" /><Relationship Type="http://schemas.openxmlformats.org/officeDocument/2006/relationships/hyperlink" Id="rId79" Target="https://scielo.isciii.es/scielo.php?script=sci_arttext&amp;pid=S0212-16112017000500013" TargetMode="External" /><Relationship Type="http://schemas.openxmlformats.org/officeDocument/2006/relationships/hyperlink" Id="rId82" Target="https://scielo.isciii.es/scielo.php?script=sci_arttext&amp;pid=S0212-71992008000700003" TargetMode="External" /><Relationship Type="http://schemas.openxmlformats.org/officeDocument/2006/relationships/hyperlink" Id="rId74" Target="https://www.cun.es/enfermedades-tratamientos/enfermedades/sindrome-metabolico" TargetMode="External" /><Relationship Type="http://schemas.openxmlformats.org/officeDocument/2006/relationships/hyperlink" Id="rId8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3" Target="https://www.flasog.org/static/academica/Sindrome-Metabolico.pdf" TargetMode="External" /><Relationship Type="http://schemas.openxmlformats.org/officeDocument/2006/relationships/hyperlink" Id="rId76" Target="https://www.mayoclinic.org/es-es/diseases-conditions/metabolic-syndrome/diagnosis-treatment/drc-20351921" TargetMode="External" /><Relationship Type="http://schemas.openxmlformats.org/officeDocument/2006/relationships/hyperlink" Id="rId77" Target="https://www.mayoclinic.org/es-es/diseases-conditions/metabolic-syndrome/symptoms-causes/syc-20351916" TargetMode="External" /><Relationship Type="http://schemas.openxmlformats.org/officeDocument/2006/relationships/hyperlink" Id="rId80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dspace.utalca.cl/handle/1950/4714" TargetMode="External" /><Relationship Type="http://schemas.openxmlformats.org/officeDocument/2006/relationships/hyperlink" Id="rId66" Target="http://hdl.handle.net/2183/16548" TargetMode="External" /><Relationship Type="http://schemas.openxmlformats.org/officeDocument/2006/relationships/hyperlink" Id="rId62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8" Target="http://ve.scielo.org/scielo.php?script=sci_arttext&amp;pid=S0048-77322011000200002&amp;lng=es&amp;nrm=iso" TargetMode="External" /><Relationship Type="http://schemas.openxmlformats.org/officeDocument/2006/relationships/hyperlink" Id="rId64" Target="http://ve.scielo.org/scielo.php?script=sci_arttext&amp;pid=S0798-07522007000200006" TargetMode="External" /><Relationship Type="http://schemas.openxmlformats.org/officeDocument/2006/relationships/hyperlink" Id="rId78" Target="http://www.scielo.org.pe/scielo.php?script=sci_arttext&amp;pid=S1025-55832020000100092&amp;lng=es" TargetMode="External" /><Relationship Type="http://schemas.openxmlformats.org/officeDocument/2006/relationships/hyperlink" Id="rId70" Target="https://doi.org/10.1373/clinchem.2005.048611" TargetMode="External" /><Relationship Type="http://schemas.openxmlformats.org/officeDocument/2006/relationships/hyperlink" Id="rId73" Target="https://isanidad.com/67663/la-falta-de-sueno-puede-disminuir-el-colesterol-bueno/" TargetMode="External" /><Relationship Type="http://schemas.openxmlformats.org/officeDocument/2006/relationships/hyperlink" Id="rId75" Target="https://middlesexhealth.org/learning-center/espanol/enfermedades-y-afecciones/s-ndrome-metab-lico" TargetMode="External" /><Relationship Type="http://schemas.openxmlformats.org/officeDocument/2006/relationships/hyperlink" Id="rId72" Target="https://ruc.udc.es/dspace/handle/2183/16548" TargetMode="External" /><Relationship Type="http://schemas.openxmlformats.org/officeDocument/2006/relationships/hyperlink" Id="rId79" Target="https://scielo.isciii.es/scielo.php?script=sci_arttext&amp;pid=S0212-16112017000500013" TargetMode="External" /><Relationship Type="http://schemas.openxmlformats.org/officeDocument/2006/relationships/hyperlink" Id="rId82" Target="https://scielo.isciii.es/scielo.php?script=sci_arttext&amp;pid=S0212-71992008000700003" TargetMode="External" /><Relationship Type="http://schemas.openxmlformats.org/officeDocument/2006/relationships/hyperlink" Id="rId74" Target="https://www.cun.es/enfermedades-tratamientos/enfermedades/sindrome-metabolico" TargetMode="External" /><Relationship Type="http://schemas.openxmlformats.org/officeDocument/2006/relationships/hyperlink" Id="rId8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3" Target="https://www.flasog.org/static/academica/Sindrome-Metabolico.pdf" TargetMode="External" /><Relationship Type="http://schemas.openxmlformats.org/officeDocument/2006/relationships/hyperlink" Id="rId76" Target="https://www.mayoclinic.org/es-es/diseases-conditions/metabolic-syndrome/diagnosis-treatment/drc-20351921" TargetMode="External" /><Relationship Type="http://schemas.openxmlformats.org/officeDocument/2006/relationships/hyperlink" Id="rId77" Target="https://www.mayoclinic.org/es-es/diseases-conditions/metabolic-syndrome/symptoms-causes/syc-20351916" TargetMode="External" /><Relationship Type="http://schemas.openxmlformats.org/officeDocument/2006/relationships/hyperlink" Id="rId80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2022-01-29T20:53:37Z</dcterms:created>
  <dcterms:modified xsi:type="dcterms:W3CDTF">2022-01-29T20:53:37Z</dcterms:modified>
</cp:coreProperties>
</file>