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4981.549815498155"/>
        <w:tblLook w:firstRow="1"/>
      </w:tblPr>
      <w:tblGrid>
        <w:gridCol w:w="1242"/>
        <w:gridCol w:w="993"/>
        <w:gridCol w:w="628"/>
        <w:gridCol w:w="50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≥ 0,9 en hombres y ≥ 0,85 en mujeres o 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central:≥102cm hombre, ≥88cm mujer, con triglicéridos altos, con colesterol HDL (c-HDL) bajo, hipertensión arterial y 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≥ 135/85 mmHg, a 130/85 mmHg o cifras normales en hipertensos con tratamiento establecido, y 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</w:t>
            </w:r>
            <w:r>
              <w:t xml:space="preserve"> </w:t>
            </w:r>
            <w:r>
              <w:t xml:space="preserve">Prevention National Heart,Lung, and Blood Institute American Heart</w:t>
            </w:r>
            <w:r>
              <w:t xml:space="preserve"> </w:t>
            </w:r>
            <w:r>
              <w:t xml:space="preserve">Association World Heart Federation International Atherosclerosis</w:t>
            </w:r>
            <w:r>
              <w:t xml:space="preserve"> </w:t>
            </w:r>
            <w:r>
              <w:t xml:space="preserve">Society and International 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3651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924a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2022-01-18T19:46:48Z</dcterms:created>
  <dcterms:modified xsi:type="dcterms:W3CDTF">2022-01-18T19:46:48Z</dcterms:modified>
</cp:coreProperties>
</file>