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 opueden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BodyText"/>
      </w:pPr>
      <w:r>
        <w:rPr>
          <w:b/>
        </w:rPr>
        <w:t xml:space="preserve">Diagnóstico diabetes gestacional</w:t>
      </w:r>
    </w:p>
    <w:p>
      <w:pPr>
        <w:pStyle w:val="BodyText"/>
      </w:pPr>
      <w:r>
        <w:t xml:space="preserve">El Comité de expertos de la Organización Mundial de la Salud (OMS)</w:t>
      </w:r>
      <w:r>
        <w:t xml:space="preserve"> </w:t>
      </w:r>
      <w:r>
        <w:t xml:space="preserve">recomienda el</w:t>
      </w:r>
      <w:r>
        <w:t xml:space="preserve"> </w:t>
      </w:r>
      <w:r>
        <w:rPr>
          <w:b/>
        </w:rPr>
        <w:t xml:space="preserve">diagnóstico de DG a través de una prueba basada en una</w:t>
      </w:r>
      <w:r>
        <w:rPr>
          <w:b/>
        </w:rPr>
        <w:t xml:space="preserve"> </w:t>
      </w:r>
      <w:r>
        <w:rPr>
          <w:b/>
        </w:rPr>
        <w:t xml:space="preserve">sobrecarga glucosada similar a la utilizada en adultos fuera del</w:t>
      </w:r>
      <w:r>
        <w:rPr>
          <w:b/>
        </w:rPr>
        <w:t xml:space="preserve"> </w:t>
      </w:r>
      <w:r>
        <w:rPr>
          <w:b/>
        </w:rPr>
        <w:t xml:space="preserve">embarazo</w:t>
      </w:r>
      <w:r>
        <w:t xml:space="preserve">.</w:t>
      </w:r>
    </w:p>
    <w:p>
      <w:pPr>
        <w:pStyle w:val="BodyText"/>
      </w:pPr>
      <w:r>
        <w:t xml:space="preserve">Después de tres días de una dieta libre con una ingesta mayor de 150 g</w:t>
      </w:r>
      <w:r>
        <w:t xml:space="preserve"> </w:t>
      </w:r>
      <w:r>
        <w:t xml:space="preserve">de glucosa diaria, se toma una muestra en ayunas y se administra 75 g de</w:t>
      </w:r>
      <w:r>
        <w:t xml:space="preserve"> </w:t>
      </w:r>
      <w:r>
        <w:t xml:space="preserve">glucosa oral para luego tomar una muestra de sangre dos horas después.</w:t>
      </w:r>
      <w:r>
        <w:br w:type="textWrapping"/>
      </w:r>
      <w:r>
        <w:t xml:space="preserve">- La respuesta normal a las dos horas debe ser menor de 140 mg/dL - si</w:t>
      </w:r>
      <w:r>
        <w:t xml:space="preserve"> </w:t>
      </w:r>
      <w:r>
        <w:t xml:space="preserve">la glicemia se encuentra entre 140 mg/dL y 199 mg/dL, existe una</w:t>
      </w:r>
      <w:r>
        <w:t xml:space="preserve"> </w:t>
      </w:r>
      <w:r>
        <w:t xml:space="preserve">intolerancia de la glucosa en la gestación (IGG) - si la glucosa excede</w:t>
      </w:r>
      <w:r>
        <w:t xml:space="preserve"> </w:t>
      </w:r>
      <w:r>
        <w:t xml:space="preserve">los 200 mg/dL la prueba es diagnóstica de DG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consencuencias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en</w:t>
      </w:r>
      <w:r>
        <w:t xml:space="preserve"> </w:t>
      </w:r>
      <w:r>
        <w:t xml:space="preserve">el futuro.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6" w:name="por-grupos-de-población"/>
      <w:bookmarkEnd w:id="46"/>
      <w:r>
        <w:t xml:space="preserve">Por grupos de población</w:t>
      </w:r>
    </w:p>
    <w:p>
      <w:pPr>
        <w:pStyle w:val="Heading2"/>
      </w:pPr>
      <w:bookmarkStart w:id="47" w:name="tratamiento-y-prevención"/>
      <w:bookmarkEnd w:id="47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8" w:name="relación-con-la-alimentación"/>
      <w:bookmarkEnd w:id="48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9" w:name="hábitos-de-vida"/>
      <w:bookmarkEnd w:id="49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0" w:name="material-y-métodos"/>
      <w:bookmarkEnd w:id="5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1" w:name="resultados"/>
      <w:bookmarkEnd w:id="5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2" w:name="discusión"/>
      <w:bookmarkEnd w:id="52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3" w:name="conclusión"/>
      <w:bookmarkEnd w:id="53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4" w:name="bibliografía"/>
      <w:bookmarkEnd w:id="54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5" w:name="section"/>
      <w:bookmarkEnd w:id="55"/>
      <w:r>
        <w:t xml:space="preserve">1</w:t>
      </w:r>
    </w:p>
    <w:p>
      <w:pPr>
        <w:pStyle w:val="FirstParagraph"/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7" w:name="section-1"/>
      <w:bookmarkEnd w:id="57"/>
      <w:r>
        <w:t xml:space="preserve">2</w:t>
      </w:r>
    </w:p>
    <w:p>
      <w:pPr>
        <w:pStyle w:val="FirstParagraph"/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9" w:name="section-2"/>
      <w:bookmarkEnd w:id="59"/>
      <w:r>
        <w:t xml:space="preserve">3</w:t>
      </w:r>
    </w:p>
    <w:p>
      <w:pPr>
        <w:pStyle w:val="FirstParagraph"/>
      </w:pPr>
      <w:hyperlink r:id="rId60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1" w:name="section-3"/>
      <w:bookmarkEnd w:id="61"/>
      <w:r>
        <w:t xml:space="preserve">4</w:t>
      </w:r>
    </w:p>
    <w:p>
      <w:pPr>
        <w:pStyle w:val="FirstParagraph"/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3" w:name="section-4"/>
      <w:bookmarkEnd w:id="63"/>
      <w:r>
        <w:t xml:space="preserve">5</w:t>
      </w:r>
    </w:p>
    <w:p>
      <w:pPr>
        <w:pStyle w:val="FirstParagraph"/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5" w:name="section-5"/>
      <w:bookmarkEnd w:id="65"/>
      <w:r>
        <w:t xml:space="preserve">6</w:t>
      </w:r>
    </w:p>
    <w:p>
      <w:pPr>
        <w:pStyle w:val="FirstParagraph"/>
      </w:pPr>
      <w:hyperlink r:id="rId66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5" w:name="glosario"/>
      <w:bookmarkEnd w:id="85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5"/>
      </w:pPr>
      <w:bookmarkStart w:id="87" w:name="tabla-1"/>
      <w:bookmarkEnd w:id="8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8" w:name="tabla-2"/>
      <w:bookmarkEnd w:id="8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9" w:name="tabla-3"/>
      <w:bookmarkEnd w:id="8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0" w:name="tabla-4"/>
      <w:bookmarkEnd w:id="9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1" w:name="tabla-5"/>
      <w:bookmarkEnd w:id="9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36fd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3712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34b7b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2022-01-29T19:34:12Z</dcterms:created>
  <dcterms:modified xsi:type="dcterms:W3CDTF">2022-01-29T19:34:12Z</dcterms:modified>
</cp:coreProperties>
</file>