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8120"/>
      </w:tblGrid>
      <w:tr>
        <w:trPr>
          <w:cantSplit/>
          <w:trHeight w:val="860"/>
        </w:trPr>
        <w:tc>
          <w:tcPr>
            <w:tcW w:type="dxa" w:w="32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drawing>
                <wp:inline distT="0" distB="0" distL="0" distR="0">
                  <wp:extent cx="1600200" cy="742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2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  <w:rFonts w:ascii="Arial" w:cs="Arial" w:eastAsia="Arial" w:hAnsi="Arial"/>
              </w:rPr>
              <w:t xml:space="preserve">FICHA DE REGISTRO DIÁRIO DE ACOMPANHAMENTO</w:t>
            </w:r>
          </w:p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  <w:rFonts w:ascii="Arial" w:cs="Arial" w:eastAsia="Arial" w:hAnsi="Arial"/>
              </w:rPr>
              <w:t xml:space="preserve">ARQUEOLÓGICO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0"/>
        <w:gridCol w:w="6120"/>
      </w:tblGrid>
      <w:tr>
        <w:trPr>
          <w:cantSplit/>
        </w:trPr>
        <w:tc>
          <w:tcPr>
            <w:tcW w:type="dxa" w:w="11320"/>
            <w:gridSpan w:val="3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1. INFORMAÇÕES GERAIS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DATA: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23-09-2026</w:t>
            </w:r>
          </w:p>
        </w:tc>
        <w:tc>
          <w:tcPr>
            <w:tcW w:type="dxa" w:w="60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Projeto: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Rodovia Br 030/Ba: Entroncamento Ba 001 - Maraú – Ba</w:t>
            </w:r>
          </w:p>
        </w:tc>
        <w:tc>
          <w:tcPr>
            <w:tcW w:type="dxa" w:w="312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FICHA ID: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4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LOCALIDADE: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Maraú - BA</w:t>
            </w:r>
          </w:p>
        </w:tc>
        <w:tc>
          <w:tcPr>
            <w:tcW w:type="dxa" w:w="60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Responsável Técnico: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Carlos Rocha</w:t>
            </w:r>
          </w:p>
        </w:tc>
        <w:tc>
          <w:tcPr>
            <w:tcW w:type="dxa" w:w="312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EMPRESA EXECUTORA: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HAS CONSULTORIA</w:t>
            </w:r>
          </w:p>
        </w:tc>
      </w:tr>
      <w:tr>
        <w:trPr>
          <w:cantSplit/>
        </w:trPr>
        <w:tc>
          <w:tcPr>
            <w:tcW w:type="dxa" w:w="11320"/>
            <w:gridSpan w:val="3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COORDENADAS GEOGRÁFICA: 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Foto 1 - (UTM) 24L 489992-8427818 (LAT/LON) -14.221110, -39.092762; Foto 2 - (UTM) 24L 490037-8427891 (LAT/LON) -14.220452, -39.092343; Foto 3 - (UTM) 24L 489985-8427790 (LAT/LON) -14.221362, -39.092830; Foto 4 - (UTM) 24L 489963-8427640 (LAT/LON) -14.222717, -39.093035</w:t>
            </w:r>
          </w:p>
        </w:tc>
      </w:tr>
      <w:tr>
        <w:trPr>
          <w:cantSplit/>
        </w:trPr>
        <w:tc>
          <w:tcPr>
            <w:tcW w:type="dxa" w:w="520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Início atividade: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07:55</w:t>
            </w:r>
          </w:p>
        </w:tc>
        <w:tc>
          <w:tcPr>
            <w:tcW w:type="dxa" w:w="6120"/>
            <w:gridSpan w:val="2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Fim atividade: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16:45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320"/>
      </w:tblGrid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2. CONDIÇÕES AMBIENTAL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Condição Climática: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X ) Ensolarado    (   ) Nublado    (   ) Chuvoso    (   ) Outro 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320"/>
      </w:tblGrid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3. DESCRIÇÃO DAS ATIVIDADES: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Trecho: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Estacas 1550 a 1567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Tipo de Intervenção: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Sondagem    (   ) Supressão Vegetal    (   ) Terraplenagem    ( X ) Outros corte e conformação de talude</w:t>
            </w:r>
          </w:p>
        </w:tc>
      </w:tr>
      <w:tr>
        <w:trPr>
          <w:cantSplit w:val="false"/>
          <w:trHeight w:val="720"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Descrição das atividades executadas:</w:t>
            </w:r>
          </w:p>
          <w:p>
            <w:pPr>
              <w:spacing w:before="20" w:after="0" w:line="19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O acompanhamento arqueológico concentrou-se na continuidade dos serviços de corte e conformação de talude no setor oeste das estacas 1550 e 1567, onde o avanço mecanizado da escavação ocorreu em cotas sucessivamente inferiores, incidindo sobre volumes de solo ainda não expostos pelas intervenções anteriores e promovendo, desse modo, a abertura contínua de novas superfícies e níveis subsuperficiais passíveis de inspeção; paralelamente à retirada do material pela escavadeira hidráulica e ao seu carregamento para transporte, procedeu-se à regularização da geometria do corte e ao acabamento da superfície do talude com motoniveladora, mantendo-se o acompanhamento arqueológico mediante observação sistemática das áreas recém-expostas, dos perfis formados e dos sedimentos mobilizados ao longo da operação. No setor leste, entre as estacas 1565 e 1567, também foi acompanhada a supressão vegetal destinada à preparação de nova frente de intervenção, ampliando a área disponível para as etapas subsequentes dos serviços de terraplenagem.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br/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br/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Evidências Arqueológicas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Sim    ( X ) Não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TIPO: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Pré-colonial      (   ) Histórico      (   ) Contato      (   ) SHIA      (   ) N/I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Materiais encontrados: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Sim    (   ) Não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Tipo de Material: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Cerâmica      (   ) Lítico      (   ) Estruturas      (   ) Outros 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0"/>
        <w:gridCol w:w="3120"/>
      </w:tblGrid>
      <w:tr>
        <w:trPr>
          <w:cantSplit/>
        </w:trPr>
        <w:tc>
          <w:tcPr>
            <w:tcW w:type="dxa" w:w="11320"/>
            <w:gridSpan w:val="2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PEDOLOGIA</w:t>
            </w:r>
          </w:p>
        </w:tc>
      </w:tr>
      <w:tr>
        <w:trPr>
          <w:cantSplit/>
        </w:trPr>
        <w:tc>
          <w:tcPr>
            <w:tcW w:type="dxa" w:w="82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Textura</w:t>
            </w:r>
          </w:p>
        </w:tc>
        <w:tc>
          <w:tcPr>
            <w:tcW w:type="dxa" w:w="312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Granulometria</w:t>
            </w:r>
          </w:p>
        </w:tc>
      </w:tr>
      <w:tr>
        <w:trPr>
          <w:cantSplit/>
        </w:trPr>
        <w:tc>
          <w:tcPr>
            <w:tcW w:type="dxa" w:w="82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Arenoso        ( X ) Argiloso / Argilo-arenoso        (   ) Siltoso / Argilo-siltoso</w:t>
            </w:r>
          </w:p>
          <w:p>
            <w:pPr>
              <w:spacing w:before="0" w:after="0" w:line="19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Arenoso / Areno-argiloso        (   ) Cascalheira        (   ) Silto-arenoso</w:t>
            </w:r>
          </w:p>
          <w:p>
            <w:pPr>
              <w:spacing w:before="0" w:after="0" w:line="19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Silto-argiloso / Areno-argiloso        (   ) Rocha Matriz/Base        (   ) Terra preta (matéria orgânica)</w:t>
            </w:r>
          </w:p>
        </w:tc>
        <w:tc>
          <w:tcPr>
            <w:tcW w:type="dxa" w:w="312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Fina   ( X ) Média   (   ) Grossa   (   ) N/I</w:t>
            </w:r>
          </w:p>
        </w:tc>
      </w:tr>
      <w:tr>
        <w:trPr>
          <w:cantSplit/>
        </w:trPr>
        <w:tc>
          <w:tcPr>
            <w:tcW w:type="dxa" w:w="11320"/>
            <w:gridSpan w:val="2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Coleta realizada?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Sim    ( X ) Não     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Amostras enviadas para análise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0"/>
        <w:gridCol w:w="5660"/>
      </w:tblGrid>
      <w:tr>
        <w:trPr>
          <w:cantSplit/>
        </w:trPr>
        <w:tc>
          <w:tcPr>
            <w:tcW w:type="dxa" w:w="11320"/>
            <w:gridSpan w:val="2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4. REGISTROS VISUAIS</w:t>
            </w:r>
          </w:p>
        </w:tc>
      </w:tr>
      <w:tr>
        <w:trPr>
          <w:cantSplit/>
        </w:trPr>
        <w:tc>
          <w:tcPr>
            <w:tcW w:type="dxa" w:w="11320"/>
            <w:gridSpan w:val="2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Fotografias: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X ) Sim    (   ) Não        </w:t>
            </w: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Croquis: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Sim    (   ) Não</w:t>
            </w:r>
          </w:p>
        </w:tc>
      </w:tr>
      <w:tr>
        <w:trPr>
          <w:cantSplit w:val="false"/>
          <w:trHeight w:val="3000"/>
        </w:trPr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drawing>
                <wp:inline distT="0" distB="0" distL="0" distR="0">
                  <wp:extent cx="2619375" cy="1962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drawing>
                <wp:inline distT="0" distB="0" distL="0" distR="0">
                  <wp:extent cx="2619375" cy="1962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false"/>
        </w:trPr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20"/>
              <w:left w:type="dxa" w:w="35"/>
              <w:bottom w:type="dxa" w:w="20"/>
              <w:right w:type="dxa" w:w="35"/>
            </w:tcMar>
            <w:vAlign w:val="top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FOTO 1: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Inspeção arqueológica dos sedimentos recém-expostos durante o avanço do corte em cota inferior, no setor oeste do trecho monitorado</w:t>
            </w:r>
          </w:p>
        </w:tc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20"/>
              <w:left w:type="dxa" w:w="35"/>
              <w:bottom w:type="dxa" w:w="20"/>
              <w:right w:type="dxa" w:w="35"/>
            </w:tcMar>
            <w:vAlign w:val="top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FOTO 2: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Regularização e acabamento da superfície do talude com motoniveladora após o avanço da escavação</w:t>
            </w:r>
          </w:p>
        </w:tc>
      </w:tr>
      <w:tr>
        <w:trPr>
          <w:cantSplit w:val="false"/>
          <w:trHeight w:val="3000"/>
        </w:trPr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drawing>
                <wp:inline distT="0" distB="0" distL="0" distR="0">
                  <wp:extent cx="2619375" cy="1962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drawing>
                <wp:inline distT="0" distB="0" distL="0" distR="0">
                  <wp:extent cx="2619375" cy="1962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false"/>
        </w:trPr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20"/>
              <w:left w:type="dxa" w:w="35"/>
              <w:bottom w:type="dxa" w:w="20"/>
              <w:right w:type="dxa" w:w="35"/>
            </w:tcMar>
            <w:vAlign w:val="top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FOTO 3: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Continuidade dos serviços de corte e conformação de talude, com retirada mecanizada e carregamento do material escavado</w:t>
            </w:r>
          </w:p>
        </w:tc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20"/>
              <w:left w:type="dxa" w:w="35"/>
              <w:bottom w:type="dxa" w:w="20"/>
              <w:right w:type="dxa" w:w="35"/>
            </w:tcMar>
            <w:vAlign w:val="top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FOTO 4: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Detalhe da retirada e carregamento dos níveis subsuperficiais mobilizados durante o aprofundamento da frente de corte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320"/>
      </w:tblGrid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5. IMPACTOS E MEDIDAS MITIGATÓRIAS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Houve alteração do contexto arqueológico?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Sim    (   ) Não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Medidas adotadas:</w:t>
            </w:r>
          </w:p>
          <w:p>
            <w:pPr>
              <w:spacing w:before="0" w:after="0" w:line="19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Interrupção da atividade?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Sim    (   ) Não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Motivo:</w:t>
            </w:r>
          </w:p>
          <w:p>
            <w:pPr>
              <w:spacing w:before="0" w:after="0" w:line="19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</w:r>
          </w:p>
        </w:tc>
      </w:tr>
      <w:tr>
        <w:trPr>
          <w:cantSplit w:val="false"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Observações e recomendações:</w:t>
            </w:r>
          </w:p>
          <w:p>
            <w:pPr>
              <w:spacing w:before="0" w:after="0" w:line="19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320"/>
      </w:tblGrid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7. ASSINATURA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Responsável pelo acompanhamento: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Carlos Rocha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Nome: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Carlos Rocha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Cargo: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Arqueólogo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Ass: ___________________​__________________​_________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Observações extras:</w:t>
            </w:r>
          </w:p>
          <w:p>
            <w:pPr>
              <w:spacing w:before="0" w:after="0" w:line="19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</w:r>
          </w:p>
        </w:tc>
      </w:tr>
    </w:tbl>
    <w:sectPr>
      <w:pgSz w:w="11906" w:h="16838" w:orient="portrait"/>
      <w:pgMar w:top="284" w:right="284" w:bottom="284" w:left="2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7"/>
        <w:szCs w:val="17"/>
        <w:rFonts w:ascii="Arial" w:cs="Arial" w:eastAsia="Arial" w:hAnsi="Arial"/>
      </w:rPr>
    </w:rPrDefault>
    <w:pPrDefault>
      <w:pPr>
        <w:spacing w:before="0" w:after="0" w:line="19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mtsgmawvtjmb3ljmnkct.png"/><Relationship Id="rId7" Type="http://schemas.openxmlformats.org/officeDocument/2006/relationships/image" Target="media/qa8en6adiwh-mjnynm7gy.png"/><Relationship Id="rId8" Type="http://schemas.openxmlformats.org/officeDocument/2006/relationships/image" Target="media/lodrejqamgsmn1uamkn-h.png"/><Relationship Id="rId9" Type="http://schemas.openxmlformats.org/officeDocument/2006/relationships/image" Target="media/gxbguj0a_w7ody6vxkddt.png"/><Relationship Id="rId10" Type="http://schemas.openxmlformats.org/officeDocument/2006/relationships/image" Target="media/2ibbhfegkdrvefwvz_wso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2026-09-24T22:11:03.137Z</dcterms:created>
  <dcterms:modified xsi:type="dcterms:W3CDTF">2026-09-24T22:11:03.138Z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