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b/>
          <w:bCs/>
          <w:color w:val="324AB6"/>
          <w:sz w:val="34"/>
          <w:szCs w:val="34"/>
        </w:rPr>
        <w:t xml:space="preserve">OFICIO DE ENTREGA</w:t>
      </w:r>
    </w:p>
    <w:p>
      <w:pPr>
        <w:pBdr>
          <w:bottom w:val="single" w:color="324AB6" w:sz="8" w:space="8"/>
        </w:pBdr>
        <w:spacing w:after="300"/>
        <w:jc w:val="center"/>
      </w:pPr>
      <w:r>
        <w:rPr>
          <w:b/>
          <w:bCs/>
          <w:color w:val="666666"/>
          <w:sz w:val="20"/>
          <w:szCs w:val="20"/>
        </w:rPr>
        <w:t xml:space="preserve">FOOAX</w:t>
      </w:r>
    </w:p>
    <w:tbl>
      <w:tblPr>
        <w:tblW w:type="dxa" w:w="936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500"/>
        <w:gridCol w:w="7860"/>
      </w:tblGrid>
      <w:tr>
        <w:tc>
          <w:tcPr>
            <w:tcW w:type="dxa" w:w="15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b/>
                <w:bCs/>
                <w:color w:val="1A1A1A"/>
                <w:sz w:val="20"/>
                <w:szCs w:val="20"/>
              </w:rPr>
              <w:t xml:space="preserve">Para:</w:t>
            </w:r>
          </w:p>
        </w:tc>
        <w:tc>
          <w:tcPr>
            <w:tcW w:type="dxa" w:w="786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color w:val="1A1A1A"/>
                <w:sz w:val="20"/>
                <w:szCs w:val="20"/>
              </w:rPr>
              <w:t xml:space="preserve">Gerencia de Administración y Finanzas, FOOAX — At'n. Ing. Monserrat</w:t>
            </w:r>
          </w:p>
        </w:tc>
      </w:tr>
      <w:tr>
        <w:tc>
          <w:tcPr>
            <w:tcW w:type="dxa" w:w="15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b/>
                <w:bCs/>
                <w:color w:val="1A1A1A"/>
                <w:sz w:val="20"/>
                <w:szCs w:val="20"/>
              </w:rPr>
              <w:t xml:space="preserve">De:</w:t>
            </w:r>
          </w:p>
        </w:tc>
        <w:tc>
          <w:tcPr>
            <w:tcW w:type="dxa" w:w="786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color w:val="1A1A1A"/>
                <w:sz w:val="20"/>
                <w:szCs w:val="20"/>
              </w:rPr>
              <w:t xml:space="preserve">Ing. Karina Matus</w:t>
            </w:r>
          </w:p>
        </w:tc>
      </w:tr>
      <w:tr>
        <w:tc>
          <w:tcPr>
            <w:tcW w:type="dxa" w:w="15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b/>
                <w:bCs/>
                <w:color w:val="1A1A1A"/>
                <w:sz w:val="20"/>
                <w:szCs w:val="20"/>
              </w:rPr>
              <w:t xml:space="preserve">Fecha:</w:t>
            </w:r>
          </w:p>
        </w:tc>
        <w:tc>
          <w:tcPr>
            <w:tcW w:type="dxa" w:w="786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color w:val="1A1A1A"/>
                <w:sz w:val="20"/>
                <w:szCs w:val="20"/>
              </w:rPr>
              <w:t xml:space="preserve">Oaxaca de Juárez, 25 de julio de 2026</w:t>
            </w:r>
          </w:p>
        </w:tc>
      </w:tr>
      <w:tr>
        <w:tc>
          <w:tcPr>
            <w:tcW w:type="dxa" w:w="15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b/>
                <w:bCs/>
                <w:color w:val="1A1A1A"/>
                <w:sz w:val="20"/>
                <w:szCs w:val="20"/>
              </w:rPr>
              <w:t xml:space="preserve">Asunto:</w:t>
            </w:r>
          </w:p>
        </w:tc>
        <w:tc>
          <w:tcPr>
            <w:tcW w:type="dxa" w:w="786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color w:val="1A1A1A"/>
                <w:sz w:val="20"/>
                <w:szCs w:val="20"/>
              </w:rPr>
              <w:t xml:space="preserve">Entrega de la información solicitada del sistema ESHLIDER</w:t>
            </w:r>
          </w:p>
        </w:tc>
      </w:tr>
      <w:tr>
        <w:tc>
          <w:tcPr>
            <w:tcW w:type="dxa" w:w="15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b/>
                <w:bCs/>
                <w:color w:val="1A1A1A"/>
                <w:sz w:val="20"/>
                <w:szCs w:val="20"/>
              </w:rPr>
              <w:t xml:space="preserve">Referencia:</w:t>
            </w:r>
          </w:p>
        </w:tc>
        <w:tc>
          <w:tcPr>
            <w:tcW w:type="dxa" w:w="786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color w:val="1A1A1A"/>
                <w:sz w:val="20"/>
                <w:szCs w:val="20"/>
              </w:rPr>
              <w:t xml:space="preserve">Su solicitud del 23 de julio de 2026</w:t>
            </w:r>
          </w:p>
        </w:tc>
      </w:tr>
    </w:tbl>
    <w:p>
      <w:pPr>
        <w:spacing w:after="260"/>
      </w:pPr>
    </w:p>
    <w:p>
      <w:pPr>
        <w:spacing w:after="150" w:line="276"/>
      </w:pPr>
      <w:r>
        <w:rPr>
          <w:color w:val="1A1A1A"/>
          <w:sz w:val="21"/>
          <w:szCs w:val="21"/>
        </w:rPr>
        <w:t xml:space="preserve">Estimada Ing. Monserrat:</w:t>
      </w:r>
    </w:p>
    <w:p>
      <w:pPr>
        <w:spacing w:after="150" w:line="276"/>
      </w:pPr>
      <w:r>
        <w:rPr>
          <w:color w:val="1A1A1A"/>
          <w:sz w:val="21"/>
          <w:szCs w:val="21"/>
        </w:rPr>
        <w:t xml:space="preserve">En atención a la solicitud urgente de esa Gerencia, de fecha 23 de julio del presente, hago entrega de la información requerida del sistema ESHLIDER.</w:t>
      </w:r>
    </w:p>
    <w:p>
      <w:pPr>
        <w:spacing w:after="150" w:line="276"/>
      </w:pPr>
      <w:r>
        <w:rPr>
          <w:color w:val="1A1A1A"/>
          <w:sz w:val="21"/>
          <w:szCs w:val="21"/>
        </w:rPr>
        <w:t xml:space="preserve">Me permito informar que la extracción se realizó de manera íntegra y en modo de solo lectura, sin alterar en forma alguna el sistema en operación. La información quedó resguardada en su totalidad antes de cualquier eventual cierre de acceso a la plataforma.</w:t>
      </w:r>
    </w:p>
    <w:p>
      <w:pPr>
        <w:pStyle w:val="Heading1"/>
        <w:spacing w:after="150" w:before="320"/>
      </w:pPr>
      <w:r>
        <w:rPr>
          <w:b/>
          <w:bCs/>
          <w:color w:val="324AB6"/>
          <w:sz w:val="25"/>
          <w:szCs w:val="25"/>
        </w:rPr>
        <w:t xml:space="preserve">Respuesta puntual a lo solicitado</w:t>
      </w:r>
    </w:p>
    <w:p>
      <w:pPr>
        <w:spacing w:after="100" w:before="120"/>
      </w:pPr>
      <w:r>
        <w:rPr>
          <w:b/>
          <w:bCs/>
          <w:sz w:val="22"/>
          <w:szCs w:val="22"/>
        </w:rPr>
        <w:t xml:space="preserve">1.  Reporte de garantías de abril y mayo</w:t>
      </w:r>
    </w:p>
    <w:p>
      <w:pPr>
        <w:spacing w:after="120" w:line="276"/>
      </w:pPr>
      <w:r>
        <w:rPr>
          <w:color w:val="1A1A1A"/>
          <w:sz w:val="21"/>
          <w:szCs w:val="21"/>
        </w:rPr>
        <w:t xml:space="preserve">Se entrega el archivo «2. Garantias abril-mayo 2026.xlsx», que contiene la totalidad de los movimientos del periodo, con el detalle de cada operación, la socia, el centro y el ejecutivo que la registró.</w:t>
      </w:r>
    </w:p>
    <w:tbl>
      <w:tblPr>
        <w:tblW w:type="dxa" w:w="9360"/>
        <w:tblBorders>
          <w:top w:val="single" w:color="C8CEDA" w:sz="1"/>
          <w:left w:val="single" w:color="C8CEDA" w:sz="1"/>
          <w:bottom w:val="single" w:color="C8CEDA" w:sz="1"/>
          <w:right w:val="single" w:color="C8CEDA" w:sz="1"/>
          <w:insideH w:val="single" w:color="C8CEDA" w:sz="1"/>
          <w:insideV w:val="single" w:color="C8CEDA" w:sz="1"/>
        </w:tblBorders>
      </w:tblPr>
      <w:tblGrid>
        <w:gridCol w:w="1500"/>
        <w:gridCol w:w="3500"/>
        <w:gridCol w:w="2180"/>
        <w:gridCol w:w="2180"/>
      </w:tblGrid>
      <w:tr>
        <w:trPr>
          <w:tblHeader/>
        </w:trPr>
        <w:tc>
          <w:tcPr>
            <w:tcW w:type="dxa" w:w="1500"/>
            <w:shd w:fill="324AB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Mes</w:t>
            </w:r>
          </w:p>
        </w:tc>
        <w:tc>
          <w:tcPr>
            <w:tcW w:type="dxa" w:w="3500"/>
            <w:shd w:fill="324AB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Concepto</w:t>
            </w:r>
          </w:p>
        </w:tc>
        <w:tc>
          <w:tcPr>
            <w:tcW w:type="dxa" w:w="2180"/>
            <w:shd w:fill="324AB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  <w:jc w:val="righ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Movimientos</w:t>
            </w:r>
          </w:p>
        </w:tc>
        <w:tc>
          <w:tcPr>
            <w:tcW w:type="dxa" w:w="2180"/>
            <w:shd w:fill="324AB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  <w:jc w:val="righ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Monto</w:t>
            </w:r>
          </w:p>
        </w:tc>
      </w:tr>
      <w:tr>
        <w:tc>
          <w:tcPr>
            <w:tcW w:type="dxa" w:w="15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b w:val="function bold() { [native code] }"/>
                <w:bCs w:val="function bold() { [native code] }"/>
                <w:color w:val="1A1A1A"/>
                <w:sz w:val="20"/>
                <w:szCs w:val="20"/>
              </w:rPr>
              <w:t xml:space="preserve">Abril</w:t>
            </w:r>
          </w:p>
        </w:tc>
        <w:tc>
          <w:tcPr>
            <w:tcW w:type="dxa" w:w="35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b w:val="function bold() { [native code] }"/>
                <w:bCs w:val="function bold() { [native code] }"/>
                <w:color w:val="1A1A1A"/>
                <w:sz w:val="20"/>
                <w:szCs w:val="20"/>
              </w:rPr>
              <w:t xml:space="preserve">Depósitos</w:t>
            </w:r>
          </w:p>
        </w:tc>
        <w:tc>
          <w:tcPr>
            <w:tcW w:type="dxa" w:w="218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  <w:jc w:val="right"/>
            </w:pPr>
            <w:r>
              <w:rPr>
                <w:color w:val="1A1A1A"/>
                <w:sz w:val="20"/>
                <w:szCs w:val="20"/>
              </w:rPr>
              <w:t xml:space="preserve">1,051</w:t>
            </w:r>
          </w:p>
        </w:tc>
        <w:tc>
          <w:tcPr>
            <w:tcW w:type="dxa" w:w="218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  <w:jc w:val="right"/>
            </w:pPr>
            <w:r>
              <w:rPr>
                <w:color w:val="1A1A1A"/>
                <w:sz w:val="20"/>
                <w:szCs w:val="20"/>
              </w:rPr>
              <w:t xml:space="preserve">$60,681.00</w:t>
            </w:r>
          </w:p>
        </w:tc>
      </w:tr>
      <w:tr>
        <w:tc>
          <w:tcPr>
            <w:tcW w:type="dxa" w:w="15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b w:val="function bold() { [native code] }"/>
                <w:bCs w:val="function bold() { [native code] }"/>
                <w:color w:val="1A1A1A"/>
                <w:sz w:val="20"/>
                <w:szCs w:val="20"/>
              </w:rPr>
              <w:t xml:space="preserve">Abril</w:t>
            </w:r>
          </w:p>
        </w:tc>
        <w:tc>
          <w:tcPr>
            <w:tcW w:type="dxa" w:w="35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b w:val="function bold() { [native code] }"/>
                <w:bCs w:val="function bold() { [native code] }"/>
                <w:color w:val="1A1A1A"/>
                <w:sz w:val="20"/>
                <w:szCs w:val="20"/>
              </w:rPr>
              <w:t xml:space="preserve">Retiros</w:t>
            </w:r>
          </w:p>
        </w:tc>
        <w:tc>
          <w:tcPr>
            <w:tcW w:type="dxa" w:w="218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  <w:jc w:val="right"/>
            </w:pPr>
            <w:r>
              <w:rPr>
                <w:color w:val="1A1A1A"/>
                <w:sz w:val="20"/>
                <w:szCs w:val="20"/>
              </w:rPr>
              <w:t xml:space="preserve">52</w:t>
            </w:r>
          </w:p>
        </w:tc>
        <w:tc>
          <w:tcPr>
            <w:tcW w:type="dxa" w:w="218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  <w:jc w:val="right"/>
            </w:pPr>
            <w:r>
              <w:rPr>
                <w:color w:val="1A1A1A"/>
                <w:sz w:val="20"/>
                <w:szCs w:val="20"/>
              </w:rPr>
              <w:t xml:space="preserve">$25,902.00</w:t>
            </w:r>
          </w:p>
        </w:tc>
      </w:tr>
      <w:tr>
        <w:tc>
          <w:tcPr>
            <w:tcW w:type="dxa" w:w="15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b w:val="function bold() { [native code] }"/>
                <w:bCs w:val="function bold() { [native code] }"/>
                <w:color w:val="1A1A1A"/>
                <w:sz w:val="20"/>
                <w:szCs w:val="20"/>
              </w:rPr>
              <w:t xml:space="preserve">Abril</w:t>
            </w:r>
          </w:p>
        </w:tc>
        <w:tc>
          <w:tcPr>
            <w:tcW w:type="dxa" w:w="35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b w:val="function bold() { [native code] }"/>
                <w:bCs w:val="function bold() { [native code] }"/>
                <w:color w:val="1A1A1A"/>
                <w:sz w:val="20"/>
                <w:szCs w:val="20"/>
              </w:rPr>
              <w:t xml:space="preserve">Aperturas</w:t>
            </w:r>
          </w:p>
        </w:tc>
        <w:tc>
          <w:tcPr>
            <w:tcW w:type="dxa" w:w="218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  <w:jc w:val="right"/>
            </w:pPr>
            <w:r>
              <w:rPr>
                <w:color w:val="1A1A1A"/>
                <w:sz w:val="20"/>
                <w:szCs w:val="20"/>
              </w:rPr>
              <w:t xml:space="preserve">362</w:t>
            </w:r>
          </w:p>
        </w:tc>
        <w:tc>
          <w:tcPr>
            <w:tcW w:type="dxa" w:w="218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  <w:jc w:val="right"/>
            </w:pPr>
            <w:r>
              <w:rPr>
                <w:color w:val="1A1A1A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15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b w:val="function bold() { [native code] }"/>
                <w:bCs w:val="function bold() { [native code] }"/>
                <w:color w:val="1A1A1A"/>
                <w:sz w:val="20"/>
                <w:szCs w:val="20"/>
              </w:rPr>
              <w:t xml:space="preserve">Mayo</w:t>
            </w:r>
          </w:p>
        </w:tc>
        <w:tc>
          <w:tcPr>
            <w:tcW w:type="dxa" w:w="35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b w:val="function bold() { [native code] }"/>
                <w:bCs w:val="function bold() { [native code] }"/>
                <w:color w:val="1A1A1A"/>
                <w:sz w:val="20"/>
                <w:szCs w:val="20"/>
              </w:rPr>
              <w:t xml:space="preserve">Depósitos</w:t>
            </w:r>
          </w:p>
        </w:tc>
        <w:tc>
          <w:tcPr>
            <w:tcW w:type="dxa" w:w="218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  <w:jc w:val="right"/>
            </w:pPr>
            <w:r>
              <w:rPr>
                <w:color w:val="1A1A1A"/>
                <w:sz w:val="20"/>
                <w:szCs w:val="20"/>
              </w:rPr>
              <w:t xml:space="preserve">1,150</w:t>
            </w:r>
          </w:p>
        </w:tc>
        <w:tc>
          <w:tcPr>
            <w:tcW w:type="dxa" w:w="218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  <w:jc w:val="right"/>
            </w:pPr>
            <w:r>
              <w:rPr>
                <w:color w:val="1A1A1A"/>
                <w:sz w:val="20"/>
                <w:szCs w:val="20"/>
              </w:rPr>
              <w:t xml:space="preserve">$72,357.00</w:t>
            </w:r>
          </w:p>
        </w:tc>
      </w:tr>
      <w:tr>
        <w:tc>
          <w:tcPr>
            <w:tcW w:type="dxa" w:w="15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b w:val="function bold() { [native code] }"/>
                <w:bCs w:val="function bold() { [native code] }"/>
                <w:color w:val="1A1A1A"/>
                <w:sz w:val="20"/>
                <w:szCs w:val="20"/>
              </w:rPr>
              <w:t xml:space="preserve">Mayo</w:t>
            </w:r>
          </w:p>
        </w:tc>
        <w:tc>
          <w:tcPr>
            <w:tcW w:type="dxa" w:w="35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b w:val="function bold() { [native code] }"/>
                <w:bCs w:val="function bold() { [native code] }"/>
                <w:color w:val="1A1A1A"/>
                <w:sz w:val="20"/>
                <w:szCs w:val="20"/>
              </w:rPr>
              <w:t xml:space="preserve">Retiros</w:t>
            </w:r>
          </w:p>
        </w:tc>
        <w:tc>
          <w:tcPr>
            <w:tcW w:type="dxa" w:w="218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  <w:jc w:val="right"/>
            </w:pPr>
            <w:r>
              <w:rPr>
                <w:color w:val="1A1A1A"/>
                <w:sz w:val="20"/>
                <w:szCs w:val="20"/>
              </w:rPr>
              <w:t xml:space="preserve">97</w:t>
            </w:r>
          </w:p>
        </w:tc>
        <w:tc>
          <w:tcPr>
            <w:tcW w:type="dxa" w:w="218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  <w:jc w:val="right"/>
            </w:pPr>
            <w:r>
              <w:rPr>
                <w:color w:val="1A1A1A"/>
                <w:sz w:val="20"/>
                <w:szCs w:val="20"/>
              </w:rPr>
              <w:t xml:space="preserve">$41,308.50</w:t>
            </w:r>
          </w:p>
        </w:tc>
      </w:tr>
      <w:tr>
        <w:tc>
          <w:tcPr>
            <w:tcW w:type="dxa" w:w="15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b w:val="function bold() { [native code] }"/>
                <w:bCs w:val="function bold() { [native code] }"/>
                <w:color w:val="1A1A1A"/>
                <w:sz w:val="20"/>
                <w:szCs w:val="20"/>
              </w:rPr>
              <w:t xml:space="preserve">Mayo</w:t>
            </w:r>
          </w:p>
        </w:tc>
        <w:tc>
          <w:tcPr>
            <w:tcW w:type="dxa" w:w="35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b w:val="function bold() { [native code] }"/>
                <w:bCs w:val="function bold() { [native code] }"/>
                <w:color w:val="1A1A1A"/>
                <w:sz w:val="20"/>
                <w:szCs w:val="20"/>
              </w:rPr>
              <w:t xml:space="preserve">Aperturas</w:t>
            </w:r>
          </w:p>
        </w:tc>
        <w:tc>
          <w:tcPr>
            <w:tcW w:type="dxa" w:w="218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  <w:jc w:val="right"/>
            </w:pPr>
            <w:r>
              <w:rPr>
                <w:color w:val="1A1A1A"/>
                <w:sz w:val="20"/>
                <w:szCs w:val="20"/>
              </w:rPr>
              <w:t xml:space="preserve">51</w:t>
            </w:r>
          </w:p>
        </w:tc>
        <w:tc>
          <w:tcPr>
            <w:tcW w:type="dxa" w:w="218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  <w:jc w:val="right"/>
            </w:pPr>
            <w:r>
              <w:rPr>
                <w:color w:val="1A1A1A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1500"/>
            <w:shd w:fill="F2F4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b/>
                <w:bCs/>
                <w:color w:val="1A1A1A"/>
                <w:sz w:val="20"/>
                <w:szCs w:val="20"/>
              </w:rPr>
              <w:t xml:space="preserve">Total</w:t>
            </w:r>
          </w:p>
        </w:tc>
        <w:tc>
          <w:tcPr>
            <w:tcW w:type="dxa" w:w="3500"/>
            <w:shd w:fill="F2F4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color w:val="1A1A1A"/>
                <w:sz w:val="20"/>
                <w:szCs w:val="20"/>
              </w:rPr>
              <w:t xml:space="preserve"/>
            </w:r>
          </w:p>
        </w:tc>
        <w:tc>
          <w:tcPr>
            <w:tcW w:type="dxa" w:w="2180"/>
            <w:shd w:fill="F2F4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  <w:jc w:val="right"/>
            </w:pPr>
            <w:r>
              <w:rPr>
                <w:b/>
                <w:bCs/>
                <w:color w:val="1A1A1A"/>
                <w:sz w:val="20"/>
                <w:szCs w:val="20"/>
              </w:rPr>
              <w:t xml:space="preserve">2,763</w:t>
            </w:r>
          </w:p>
        </w:tc>
        <w:tc>
          <w:tcPr>
            <w:tcW w:type="dxa" w:w="2180"/>
            <w:shd w:fill="F2F4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  <w:jc w:val="right"/>
            </w:pPr>
            <w:r>
              <w:rPr>
                <w:b/>
                <w:bCs/>
                <w:color w:val="1A1A1A"/>
                <w:sz w:val="20"/>
                <w:szCs w:val="20"/>
              </w:rPr>
              <w:t xml:space="preserve">$200,248.50</w:t>
            </w:r>
          </w:p>
        </w:tc>
      </w:tr>
    </w:tbl>
    <w:p>
      <w:pPr>
        <w:spacing w:after="150" w:before="150"/>
      </w:pPr>
      <w:r>
        <w:rPr>
          <w:sz w:val="21"/>
          <w:szCs w:val="21"/>
        </w:rPr>
        <w:t xml:space="preserve">Adicionalmente se incluye el </w:t>
      </w:r>
      <w:r>
        <w:rPr>
          <w:b/>
          <w:bCs/>
          <w:sz w:val="21"/>
          <w:szCs w:val="21"/>
        </w:rPr>
        <w:t xml:space="preserve">saldo de garantías vigente: $97,449.40</w:t>
      </w:r>
      <w:r>
        <w:rPr>
          <w:sz w:val="21"/>
          <w:szCs w:val="21"/>
        </w:rPr>
        <w:t xml:space="preserve"> distribuido en 473 cuentas, con el desglose individual por socia.</w:t>
      </w:r>
    </w:p>
    <w:p>
      <w:pPr>
        <w:spacing w:after="100" w:before="220"/>
      </w:pPr>
      <w:r>
        <w:rPr>
          <w:b/>
          <w:bCs/>
          <w:sz w:val="22"/>
          <w:szCs w:val="22"/>
        </w:rPr>
        <w:t xml:space="preserve">2.  Respaldo de las entrevistas de crédito</w:t>
      </w:r>
    </w:p>
    <w:p>
      <w:pPr>
        <w:spacing w:after="120" w:line="276"/>
      </w:pPr>
      <w:r>
        <w:rPr>
          <w:color w:val="1A1A1A"/>
          <w:sz w:val="21"/>
          <w:szCs w:val="21"/>
        </w:rPr>
        <w:t xml:space="preserve">Se entrega el archivo «3. Entrevistas de credito.xlsx», con el expediente socioeconómico completo generado hasta la fecha: 3,788 registros organizados en siete secciones, cruzables entre sí por el identificador de la socia.</w:t>
      </w:r>
    </w:p>
    <w:tbl>
      <w:tblPr>
        <w:tblW w:type="dxa" w:w="9360"/>
        <w:tblBorders>
          <w:top w:val="single" w:color="C8CEDA" w:sz="1"/>
          <w:left w:val="single" w:color="C8CEDA" w:sz="1"/>
          <w:bottom w:val="single" w:color="C8CEDA" w:sz="1"/>
          <w:right w:val="single" w:color="C8CEDA" w:sz="1"/>
          <w:insideH w:val="single" w:color="C8CEDA" w:sz="1"/>
          <w:insideV w:val="single" w:color="C8CEDA" w:sz="1"/>
        </w:tblBorders>
      </w:tblPr>
      <w:tblGrid>
        <w:gridCol w:w="4700"/>
        <w:gridCol w:w="1660"/>
        <w:gridCol w:w="3000"/>
      </w:tblGrid>
      <w:tr>
        <w:trPr>
          <w:tblHeader/>
        </w:trPr>
        <w:tc>
          <w:tcPr>
            <w:tcW w:type="dxa" w:w="4700"/>
            <w:shd w:fill="324AB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Sección</w:t>
            </w:r>
          </w:p>
        </w:tc>
        <w:tc>
          <w:tcPr>
            <w:tcW w:type="dxa" w:w="1660"/>
            <w:shd w:fill="324AB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Registros</w:t>
            </w:r>
          </w:p>
        </w:tc>
        <w:tc>
          <w:tcPr>
            <w:tcW w:type="dxa" w:w="3000"/>
            <w:shd w:fill="324AB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Contenido</w:t>
            </w:r>
          </w:p>
        </w:tc>
      </w:tr>
      <w:tr>
        <w:tc>
          <w:tcPr>
            <w:tcW w:type="dxa" w:w="47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b w:val="function bold() { [native code] }"/>
                <w:bCs w:val="function bold() { [native code] }"/>
                <w:color w:val="1A1A1A"/>
                <w:sz w:val="20"/>
                <w:szCs w:val="20"/>
              </w:rPr>
              <w:t xml:space="preserve">Socias</w:t>
            </w:r>
          </w:p>
        </w:tc>
        <w:tc>
          <w:tcPr>
            <w:tcW w:type="dxa" w:w="166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  <w:jc w:val="center"/>
            </w:pPr>
            <w:r>
              <w:rPr>
                <w:color w:val="1A1A1A"/>
                <w:sz w:val="20"/>
                <w:szCs w:val="20"/>
              </w:rPr>
              <w:t xml:space="preserve">659</w:t>
            </w:r>
          </w:p>
        </w:tc>
        <w:tc>
          <w:tcPr>
            <w:tcW w:type="dxa" w:w="30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b w:val="function bold() { [native code] }"/>
                <w:bCs w:val="function bold() { [native code] }"/>
                <w:color w:val="1A1A1A"/>
                <w:sz w:val="20"/>
                <w:szCs w:val="20"/>
              </w:rPr>
              <w:t xml:space="preserve">Identidad y domicilio</w:t>
            </w:r>
          </w:p>
        </w:tc>
      </w:tr>
      <w:tr>
        <w:tc>
          <w:tcPr>
            <w:tcW w:type="dxa" w:w="47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b w:val="function bold() { [native code] }"/>
                <w:bCs w:val="function bold() { [native code] }"/>
                <w:color w:val="1A1A1A"/>
                <w:sz w:val="20"/>
                <w:szCs w:val="20"/>
              </w:rPr>
              <w:t xml:space="preserve">Vivienda</w:t>
            </w:r>
          </w:p>
        </w:tc>
        <w:tc>
          <w:tcPr>
            <w:tcW w:type="dxa" w:w="166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  <w:jc w:val="center"/>
            </w:pPr>
            <w:r>
              <w:rPr>
                <w:color w:val="1A1A1A"/>
                <w:sz w:val="20"/>
                <w:szCs w:val="20"/>
              </w:rPr>
              <w:t xml:space="preserve">593</w:t>
            </w:r>
          </w:p>
        </w:tc>
        <w:tc>
          <w:tcPr>
            <w:tcW w:type="dxa" w:w="30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b w:val="function bold() { [native code] }"/>
                <w:bCs w:val="function bold() { [native code] }"/>
                <w:color w:val="1A1A1A"/>
                <w:sz w:val="20"/>
                <w:szCs w:val="20"/>
              </w:rPr>
              <w:t xml:space="preserve">Condiciones del hogar</w:t>
            </w:r>
          </w:p>
        </w:tc>
      </w:tr>
      <w:tr>
        <w:tc>
          <w:tcPr>
            <w:tcW w:type="dxa" w:w="47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b w:val="function bold() { [native code] }"/>
                <w:bCs w:val="function bold() { [native code] }"/>
                <w:color w:val="1A1A1A"/>
                <w:sz w:val="20"/>
                <w:szCs w:val="20"/>
              </w:rPr>
              <w:t xml:space="preserve">Ingresos</w:t>
            </w:r>
          </w:p>
        </w:tc>
        <w:tc>
          <w:tcPr>
            <w:tcW w:type="dxa" w:w="166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  <w:jc w:val="center"/>
            </w:pPr>
            <w:r>
              <w:rPr>
                <w:color w:val="1A1A1A"/>
                <w:sz w:val="20"/>
                <w:szCs w:val="20"/>
              </w:rPr>
              <w:t xml:space="preserve">592</w:t>
            </w:r>
          </w:p>
        </w:tc>
        <w:tc>
          <w:tcPr>
            <w:tcW w:type="dxa" w:w="30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b w:val="function bold() { [native code] }"/>
                <w:bCs w:val="function bold() { [native code] }"/>
                <w:color w:val="1A1A1A"/>
                <w:sz w:val="20"/>
                <w:szCs w:val="20"/>
              </w:rPr>
              <w:t xml:space="preserve">Ingresos declarados</w:t>
            </w:r>
          </w:p>
        </w:tc>
      </w:tr>
      <w:tr>
        <w:tc>
          <w:tcPr>
            <w:tcW w:type="dxa" w:w="47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b w:val="function bold() { [native code] }"/>
                <w:bCs w:val="function bold() { [native code] }"/>
                <w:color w:val="1A1A1A"/>
                <w:sz w:val="20"/>
                <w:szCs w:val="20"/>
              </w:rPr>
              <w:t xml:space="preserve">Familiares</w:t>
            </w:r>
          </w:p>
        </w:tc>
        <w:tc>
          <w:tcPr>
            <w:tcW w:type="dxa" w:w="166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  <w:jc w:val="center"/>
            </w:pPr>
            <w:r>
              <w:rPr>
                <w:color w:val="1A1A1A"/>
                <w:sz w:val="20"/>
                <w:szCs w:val="20"/>
              </w:rPr>
              <w:t xml:space="preserve">592</w:t>
            </w:r>
          </w:p>
        </w:tc>
        <w:tc>
          <w:tcPr>
            <w:tcW w:type="dxa" w:w="30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b w:val="function bold() { [native code] }"/>
                <w:bCs w:val="function bold() { [native code] }"/>
                <w:color w:val="1A1A1A"/>
                <w:sz w:val="20"/>
                <w:szCs w:val="20"/>
              </w:rPr>
              <w:t xml:space="preserve">Núcleo familiar</w:t>
            </w:r>
          </w:p>
        </w:tc>
      </w:tr>
      <w:tr>
        <w:tc>
          <w:tcPr>
            <w:tcW w:type="dxa" w:w="47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b w:val="function bold() { [native code] }"/>
                <w:bCs w:val="function bold() { [native code] }"/>
                <w:color w:val="1A1A1A"/>
                <w:sz w:val="20"/>
                <w:szCs w:val="20"/>
              </w:rPr>
              <w:t xml:space="preserve">Referencias</w:t>
            </w:r>
          </w:p>
        </w:tc>
        <w:tc>
          <w:tcPr>
            <w:tcW w:type="dxa" w:w="166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  <w:jc w:val="center"/>
            </w:pPr>
            <w:r>
              <w:rPr>
                <w:color w:val="1A1A1A"/>
                <w:sz w:val="20"/>
                <w:szCs w:val="20"/>
              </w:rPr>
              <w:t xml:space="preserve">593</w:t>
            </w:r>
          </w:p>
        </w:tc>
        <w:tc>
          <w:tcPr>
            <w:tcW w:type="dxa" w:w="30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b w:val="function bold() { [native code] }"/>
                <w:bCs w:val="function bold() { [native code] }"/>
                <w:color w:val="1A1A1A"/>
                <w:sz w:val="20"/>
                <w:szCs w:val="20"/>
              </w:rPr>
              <w:t xml:space="preserve">Referencias personales</w:t>
            </w:r>
          </w:p>
        </w:tc>
      </w:tr>
      <w:tr>
        <w:tc>
          <w:tcPr>
            <w:tcW w:type="dxa" w:w="47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b w:val="function bold() { [native code] }"/>
                <w:bCs w:val="function bold() { [native code] }"/>
                <w:color w:val="1A1A1A"/>
                <w:sz w:val="20"/>
                <w:szCs w:val="20"/>
              </w:rPr>
              <w:t xml:space="preserve">Beneficiarios</w:t>
            </w:r>
          </w:p>
        </w:tc>
        <w:tc>
          <w:tcPr>
            <w:tcW w:type="dxa" w:w="166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  <w:jc w:val="center"/>
            </w:pPr>
            <w:r>
              <w:rPr>
                <w:color w:val="1A1A1A"/>
                <w:sz w:val="20"/>
                <w:szCs w:val="20"/>
              </w:rPr>
              <w:t xml:space="preserve">597</w:t>
            </w:r>
          </w:p>
        </w:tc>
        <w:tc>
          <w:tcPr>
            <w:tcW w:type="dxa" w:w="30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b w:val="function bold() { [native code] }"/>
                <w:bCs w:val="function bold() { [native code] }"/>
                <w:color w:val="1A1A1A"/>
                <w:sz w:val="20"/>
                <w:szCs w:val="20"/>
              </w:rPr>
              <w:t xml:space="preserve">Beneficiarios designados</w:t>
            </w:r>
          </w:p>
        </w:tc>
      </w:tr>
      <w:tr>
        <w:tc>
          <w:tcPr>
            <w:tcW w:type="dxa" w:w="47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b w:val="function bold() { [native code] }"/>
                <w:bCs w:val="function bold() { [native code] }"/>
                <w:color w:val="1A1A1A"/>
                <w:sz w:val="20"/>
                <w:szCs w:val="20"/>
              </w:rPr>
              <w:t xml:space="preserve">Avales</w:t>
            </w:r>
          </w:p>
        </w:tc>
        <w:tc>
          <w:tcPr>
            <w:tcW w:type="dxa" w:w="166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  <w:jc w:val="center"/>
            </w:pPr>
            <w:r>
              <w:rPr>
                <w:color w:val="1A1A1A"/>
                <w:sz w:val="20"/>
                <w:szCs w:val="20"/>
              </w:rPr>
              <w:t xml:space="preserve">162</w:t>
            </w:r>
          </w:p>
        </w:tc>
        <w:tc>
          <w:tcPr>
            <w:tcW w:type="dxa" w:w="30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b w:val="function bold() { [native code] }"/>
                <w:bCs w:val="function bold() { [native code] }"/>
                <w:color w:val="1A1A1A"/>
                <w:sz w:val="20"/>
                <w:szCs w:val="20"/>
              </w:rPr>
              <w:t xml:space="preserve">Avales del crédito</w:t>
            </w:r>
          </w:p>
        </w:tc>
      </w:tr>
      <w:tr>
        <w:tc>
          <w:tcPr>
            <w:tcW w:type="dxa" w:w="4700"/>
            <w:shd w:fill="F2F4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b/>
                <w:bCs/>
                <w:color w:val="1A1A1A"/>
                <w:sz w:val="20"/>
                <w:szCs w:val="20"/>
              </w:rPr>
              <w:t xml:space="preserve">Total</w:t>
            </w:r>
          </w:p>
        </w:tc>
        <w:tc>
          <w:tcPr>
            <w:tcW w:type="dxa" w:w="1660"/>
            <w:shd w:fill="F2F4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  <w:jc w:val="center"/>
            </w:pPr>
            <w:r>
              <w:rPr>
                <w:b/>
                <w:bCs/>
                <w:color w:val="1A1A1A"/>
                <w:sz w:val="20"/>
                <w:szCs w:val="20"/>
              </w:rPr>
              <w:t xml:space="preserve">3,788</w:t>
            </w:r>
          </w:p>
        </w:tc>
        <w:tc>
          <w:tcPr>
            <w:tcW w:type="dxa" w:w="3000"/>
            <w:shd w:fill="F2F4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color w:val="1A1A1A"/>
                <w:sz w:val="20"/>
                <w:szCs w:val="20"/>
              </w:rPr>
              <w:t xml:space="preserve"/>
            </w:r>
          </w:p>
        </w:tc>
      </w:tr>
    </w:tbl>
    <w:p>
      <w:pPr>
        <w:pStyle w:val="Heading1"/>
        <w:spacing w:after="150" w:before="320"/>
      </w:pPr>
      <w:r>
        <w:rPr>
          <w:b/>
          <w:bCs/>
          <w:color w:val="324AB6"/>
          <w:sz w:val="25"/>
          <w:szCs w:val="25"/>
        </w:rPr>
        <w:t xml:space="preserve">Precisiones sobre la información entregada</w:t>
      </w:r>
    </w:p>
    <w:p>
      <w:pPr>
        <w:spacing w:after="150" w:line="276"/>
      </w:pPr>
      <w:r>
        <w:rPr>
          <w:color w:val="1A1A1A"/>
          <w:sz w:val="21"/>
          <w:szCs w:val="21"/>
        </w:rPr>
        <w:t xml:space="preserve">Para la correcta interpretación de los archivos, señalo dos puntos:</w:t>
      </w:r>
    </w:p>
    <w:p>
      <w:pPr>
        <w:pStyle w:val="ListParagraph"/>
        <w:numPr>
          <w:ilvl w:val="0"/>
          <w:numId w:val="2"/>
        </w:numPr>
        <w:spacing w:after="100" w:line="276"/>
      </w:pPr>
      <w:r>
        <w:rPr>
          <w:sz w:val="21"/>
          <w:szCs w:val="21"/>
        </w:rPr>
        <w:t xml:space="preserve">La sección de «muebles» del formato de entrevista aparece sin registros. No se trata de información perdida: esa parte nunca se capturó en el sistema.</w:t>
      </w:r>
    </w:p>
    <w:p>
      <w:pPr>
        <w:pStyle w:val="ListParagraph"/>
        <w:numPr>
          <w:ilvl w:val="0"/>
          <w:numId w:val="2"/>
        </w:numPr>
        <w:spacing w:after="100" w:line="276"/>
      </w:pPr>
      <w:r>
        <w:rPr>
          <w:sz w:val="21"/>
          <w:szCs w:val="21"/>
        </w:rPr>
        <w:t xml:space="preserve">El registro de garantías inicia en abril de 2026. Se verificó el resto de la base de datos y sí conserva historia desde febrero de 2024, por lo que no existe pérdida de información: el módulo de garantías comenzó a operar en abril, lo cual coincide con el cambio de figura de cooperativa a financiera.</w:t>
      </w:r>
    </w:p>
    <w:p>
      <w:pPr>
        <w:pStyle w:val="Heading1"/>
        <w:spacing w:after="150" w:before="320"/>
      </w:pPr>
      <w:r>
        <w:rPr>
          <w:b/>
          <w:bCs/>
          <w:color w:val="324AB6"/>
          <w:sz w:val="25"/>
          <w:szCs w:val="25"/>
        </w:rPr>
        <w:t xml:space="preserve">Resguardo adicional</w:t>
      </w:r>
    </w:p>
    <w:p>
      <w:pPr>
        <w:spacing w:after="150" w:line="276"/>
      </w:pPr>
      <w:r>
        <w:rPr>
          <w:color w:val="1A1A1A"/>
          <w:sz w:val="21"/>
          <w:szCs w:val="21"/>
        </w:rPr>
        <w:t xml:space="preserve">Además de lo solicitado, se resguardó la base de datos completa del sistema (61 tablas: préstamos, pagos, mora, capital, centros, grupos, pagarés, movimientos y auditoría), con el fin de proteger a la empresa ante cualquier requerimiento futuro.</w:t>
      </w:r>
    </w:p>
    <w:p>
      <w:pPr>
        <w:spacing w:after="150" w:line="276"/>
      </w:pPr>
      <w:r>
        <w:rPr>
          <w:i/>
          <w:iCs/>
          <w:color w:val="1A1A1A"/>
          <w:sz w:val="21"/>
          <w:szCs w:val="21"/>
        </w:rPr>
        <w:t xml:space="preserve">Dicho respaldo íntegro contiene información sensible adicional y queda a disposición de Dirección General para su custodia, conforme se determine.</w:t>
      </w:r>
    </w:p>
    <w:p>
      <w:pPr>
        <w:pStyle w:val="Heading1"/>
        <w:spacing w:after="150" w:before="320"/>
      </w:pPr>
      <w:r>
        <w:rPr>
          <w:b/>
          <w:bCs/>
          <w:color w:val="324AB6"/>
          <w:sz w:val="25"/>
          <w:szCs w:val="25"/>
        </w:rPr>
        <w:t xml:space="preserve">Relación de archivos entregados</w:t>
      </w:r>
    </w:p>
    <w:tbl>
      <w:tblPr>
        <w:tblW w:type="dxa" w:w="9360"/>
        <w:tblBorders>
          <w:top w:val="single" w:color="C8CEDA" w:sz="1"/>
          <w:left w:val="single" w:color="C8CEDA" w:sz="1"/>
          <w:bottom w:val="single" w:color="C8CEDA" w:sz="1"/>
          <w:right w:val="single" w:color="C8CEDA" w:sz="1"/>
          <w:insideH w:val="single" w:color="C8CEDA" w:sz="1"/>
          <w:insideV w:val="single" w:color="C8CEDA" w:sz="1"/>
        </w:tblBorders>
      </w:tblPr>
      <w:tblGrid>
        <w:gridCol w:w="700"/>
        <w:gridCol w:w="5060"/>
        <w:gridCol w:w="3600"/>
      </w:tblGrid>
      <w:tr>
        <w:trPr>
          <w:tblHeader/>
        </w:trPr>
        <w:tc>
          <w:tcPr>
            <w:tcW w:type="dxa" w:w="700"/>
            <w:shd w:fill="324AB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5060"/>
            <w:shd w:fill="324AB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Archivo</w:t>
            </w:r>
          </w:p>
        </w:tc>
        <w:tc>
          <w:tcPr>
            <w:tcW w:type="dxa" w:w="3600"/>
            <w:shd w:fill="324AB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Contenido</w:t>
            </w:r>
          </w:p>
        </w:tc>
      </w:tr>
      <w:tr>
        <w:tc>
          <w:tcPr>
            <w:tcW w:type="dxa" w:w="7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  <w:jc w:val="center"/>
            </w:pPr>
            <w:r>
              <w:rPr>
                <w:color w:val="1A1A1A"/>
                <w:sz w:val="20"/>
                <w:szCs w:val="20"/>
              </w:rPr>
              <w:t xml:space="preserve">1</w:t>
            </w:r>
          </w:p>
        </w:tc>
        <w:tc>
          <w:tcPr>
            <w:tcW w:type="dxa" w:w="506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b w:val="function bold() { [native code] }"/>
                <w:bCs w:val="function bold() { [native code] }"/>
                <w:color w:val="1A1A1A"/>
                <w:sz w:val="20"/>
                <w:szCs w:val="20"/>
              </w:rPr>
              <w:t xml:space="preserve">Oficio de entrega.docx</w:t>
            </w:r>
          </w:p>
        </w:tc>
        <w:tc>
          <w:tcPr>
            <w:tcW w:type="dxa" w:w="36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b w:val="function bold() { [native code] }"/>
                <w:bCs w:val="function bold() { [native code] }"/>
                <w:color w:val="1A1A1A"/>
                <w:sz w:val="20"/>
                <w:szCs w:val="20"/>
              </w:rPr>
              <w:t xml:space="preserve">El presente documento</w:t>
            </w:r>
          </w:p>
        </w:tc>
      </w:tr>
      <w:tr>
        <w:tc>
          <w:tcPr>
            <w:tcW w:type="dxa" w:w="7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  <w:jc w:val="center"/>
            </w:pPr>
            <w:r>
              <w:rPr>
                <w:color w:val="1A1A1A"/>
                <w:sz w:val="20"/>
                <w:szCs w:val="20"/>
              </w:rPr>
              <w:t xml:space="preserve">2</w:t>
            </w:r>
          </w:p>
        </w:tc>
        <w:tc>
          <w:tcPr>
            <w:tcW w:type="dxa" w:w="506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b w:val="function bold() { [native code] }"/>
                <w:bCs w:val="function bold() { [native code] }"/>
                <w:color w:val="1A1A1A"/>
                <w:sz w:val="20"/>
                <w:szCs w:val="20"/>
              </w:rPr>
              <w:t xml:space="preserve">Garantias abril-mayo 2026.xlsx</w:t>
            </w:r>
          </w:p>
        </w:tc>
        <w:tc>
          <w:tcPr>
            <w:tcW w:type="dxa" w:w="36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b w:val="function bold() { [native code] }"/>
                <w:bCs w:val="function bold() { [native code] }"/>
                <w:color w:val="1A1A1A"/>
                <w:sz w:val="20"/>
                <w:szCs w:val="20"/>
              </w:rPr>
              <w:t xml:space="preserve">2,763 movimientos y saldo por socia</w:t>
            </w:r>
          </w:p>
        </w:tc>
      </w:tr>
      <w:tr>
        <w:tc>
          <w:tcPr>
            <w:tcW w:type="dxa" w:w="7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  <w:jc w:val="center"/>
            </w:pPr>
            <w:r>
              <w:rPr>
                <w:color w:val="1A1A1A"/>
                <w:sz w:val="20"/>
                <w:szCs w:val="20"/>
              </w:rPr>
              <w:t xml:space="preserve">3</w:t>
            </w:r>
          </w:p>
        </w:tc>
        <w:tc>
          <w:tcPr>
            <w:tcW w:type="dxa" w:w="506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b w:val="function bold() { [native code] }"/>
                <w:bCs w:val="function bold() { [native code] }"/>
                <w:color w:val="1A1A1A"/>
                <w:sz w:val="20"/>
                <w:szCs w:val="20"/>
              </w:rPr>
              <w:t xml:space="preserve">Entrevistas de credito.xlsx</w:t>
            </w:r>
          </w:p>
        </w:tc>
        <w:tc>
          <w:tcPr>
            <w:tcW w:type="dxa" w:w="36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b w:val="function bold() { [native code] }"/>
                <w:bCs w:val="function bold() { [native code] }"/>
                <w:color w:val="1A1A1A"/>
                <w:sz w:val="20"/>
                <w:szCs w:val="20"/>
              </w:rPr>
              <w:t xml:space="preserve">3,788 registros del expediente</w:t>
            </w:r>
          </w:p>
        </w:tc>
      </w:tr>
      <w:tr>
        <w:tc>
          <w:tcPr>
            <w:tcW w:type="dxa" w:w="7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  <w:jc w:val="center"/>
            </w:pPr>
            <w:r>
              <w:rPr>
                <w:color w:val="1A1A1A"/>
                <w:sz w:val="20"/>
                <w:szCs w:val="20"/>
              </w:rPr>
              <w:t xml:space="preserve">4</w:t>
            </w:r>
          </w:p>
        </w:tc>
        <w:tc>
          <w:tcPr>
            <w:tcW w:type="dxa" w:w="506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b w:val="function bold() { [native code] }"/>
                <w:bCs w:val="function bold() { [native code] }"/>
                <w:color w:val="1A1A1A"/>
                <w:sz w:val="20"/>
                <w:szCs w:val="20"/>
              </w:rPr>
              <w:t xml:space="preserve">LEEME - Guia de los archivos.docx</w:t>
            </w:r>
          </w:p>
        </w:tc>
        <w:tc>
          <w:tcPr>
            <w:tcW w:type="dxa" w:w="36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b w:val="function bold() { [native code] }"/>
                <w:bCs w:val="function bold() { [native code] }"/>
                <w:color w:val="1A1A1A"/>
                <w:sz w:val="20"/>
                <w:szCs w:val="20"/>
              </w:rPr>
              <w:t xml:space="preserve">Explicación de cada hoja</w:t>
            </w:r>
          </w:p>
        </w:tc>
      </w:tr>
    </w:tbl>
    <w:p>
      <w:pPr>
        <w:spacing w:before="260"/>
      </w:pPr>
    </w:p>
    <w:p>
      <w:pPr>
        <w:spacing w:after="150" w:line="276"/>
      </w:pPr>
      <w:r>
        <w:rPr>
          <w:color w:val="1A1A1A"/>
          <w:sz w:val="21"/>
          <w:szCs w:val="21"/>
        </w:rPr>
        <w:t xml:space="preserve">Quedo a sus órdenes para cualquier aclaración o para preparar la información en algún otro formato que les resulte más práctico.</w:t>
      </w:r>
    </w:p>
    <w:p>
      <w:pPr>
        <w:spacing w:after="150" w:line="276"/>
      </w:pPr>
      <w:r>
        <w:rPr>
          <w:color w:val="1A1A1A"/>
          <w:sz w:val="21"/>
          <w:szCs w:val="21"/>
        </w:rPr>
        <w:t xml:space="preserve">Sin otro particular, reciba un cordial saludo.</w:t>
      </w:r>
    </w:p>
    <w:p>
      <w:pPr>
        <w:spacing w:before="560"/>
        <w:jc w:val="center"/>
      </w:pPr>
      <w:r>
        <w:rPr>
          <w:sz w:val="21"/>
          <w:szCs w:val="21"/>
        </w:rPr>
        <w:t xml:space="preserve">_______________________________</w:t>
      </w:r>
    </w:p>
    <w:p>
      <w:pPr>
        <w:spacing w:before="80"/>
        <w:jc w:val="center"/>
      </w:pPr>
      <w:r>
        <w:rPr>
          <w:b/>
          <w:bCs/>
          <w:sz w:val="21"/>
          <w:szCs w:val="21"/>
        </w:rPr>
        <w:t xml:space="preserve">Ing. Karina Matus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2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A1A1A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Oficio de entrega — Información del sistema ESHLIDER</dc:title>
  <dc:creator>Ing. Karina Matus</dc:creator>
  <cp:lastModifiedBy>Un-named</cp:lastModifiedBy>
  <cp:revision>1</cp:revision>
  <dcterms:created xsi:type="dcterms:W3CDTF">2026-07-25T06:08:34.390Z</dcterms:created>
  <dcterms:modified xsi:type="dcterms:W3CDTF">2026-07-25T06:08:34.395Z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