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24AB6"/>
          <w:sz w:val="32"/>
          <w:szCs w:val="32"/>
        </w:rPr>
        <w:t xml:space="preserve">GUÍA DE LOS ARCHIVOS</w:t>
      </w:r>
    </w:p>
    <w:p>
      <w:pPr>
        <w:pBdr>
          <w:bottom w:val="single" w:color="324AB6" w:sz="8" w:space="8"/>
        </w:pBdr>
        <w:spacing w:after="320"/>
        <w:jc w:val="center"/>
      </w:pPr>
      <w:r>
        <w:rPr>
          <w:b/>
          <w:bCs/>
          <w:color w:val="666666"/>
          <w:sz w:val="19"/>
          <w:szCs w:val="19"/>
        </w:rPr>
        <w:t xml:space="preserve">Información del sistema ESHLIDER · 25 de julio de 2026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Esta guía explica qué contiene cada archivo y cómo usarlo. No se requiere ningún conocimiento técnico: todo se abre con Excel y con Word.</w:t>
      </w:r>
    </w:p>
    <w:p>
      <w:pPr>
        <w:pStyle w:val="Heading1"/>
        <w:spacing w:after="150" w:before="330"/>
      </w:pPr>
      <w:r>
        <w:rPr>
          <w:b/>
          <w:bCs/>
          <w:color w:val="324AB6"/>
          <w:sz w:val="25"/>
          <w:szCs w:val="25"/>
        </w:rPr>
        <w:t xml:space="preserve">Qué hay en la carpeta</w:t>
      </w:r>
    </w:p>
    <w:tbl>
      <w:tblPr>
        <w:tblW w:type="dxa" w:w="9360"/>
        <w:tblBorders>
          <w:top w:val="single" w:color="C8CEDA" w:sz="1"/>
          <w:left w:val="single" w:color="C8CEDA" w:sz="1"/>
          <w:bottom w:val="single" w:color="C8CEDA" w:sz="1"/>
          <w:right w:val="single" w:color="C8CEDA" w:sz="1"/>
          <w:insideH w:val="single" w:color="C8CEDA" w:sz="1"/>
          <w:insideV w:val="single" w:color="C8CEDA" w:sz="1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46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Oficio de entrega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El documento formal de respuesta a su solicitud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Garantias abril-mayo 2026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El reporte de garantías que pidieron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Entrevistas de credito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El respaldo de las entrevistas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LEEME - Guia de los archivos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Este documento</w:t>
            </w:r>
          </w:p>
        </w:tc>
      </w:tr>
    </w:tbl>
    <w:p>
      <w:pPr>
        <w:pStyle w:val="Heading1"/>
        <w:spacing w:after="150" w:before="330"/>
      </w:pPr>
      <w:r>
        <w:rPr>
          <w:b/>
          <w:bCs/>
          <w:color w:val="324AB6"/>
          <w:sz w:val="25"/>
          <w:szCs w:val="25"/>
        </w:rPr>
        <w:t xml:space="preserve">Archivo 2 — Garantías de abril y mayo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Al abrirlo verá cuatro pestañas en la parte de abajo:</w:t>
      </w:r>
    </w:p>
    <w:p>
      <w:pPr>
        <w:pStyle w:val="Heading2"/>
        <w:spacing w:after="110" w:before="220"/>
      </w:pPr>
      <w:r>
        <w:rPr>
          <w:b/>
          <w:bCs/>
          <w:color w:val="1A1A1A"/>
          <w:sz w:val="22"/>
          <w:szCs w:val="22"/>
        </w:rPr>
        <w:t xml:space="preserve">Pestaña «Resumen»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Es la carátula. Muestra los totales de abril y mayo separados por concepto (depósitos, retiros y aperturas), el gran total del periodo y el saldo de garantías vigente. Esta es la hoja que conviene imprimir o mostrar en una junta.</w:t>
      </w:r>
    </w:p>
    <w:p>
      <w:pPr>
        <w:pStyle w:val="Heading2"/>
        <w:spacing w:after="110" w:before="220"/>
      </w:pPr>
      <w:r>
        <w:rPr>
          <w:b/>
          <w:bCs/>
          <w:color w:val="1A1A1A"/>
          <w:sz w:val="22"/>
          <w:szCs w:val="22"/>
        </w:rPr>
        <w:t xml:space="preserve">Pestañas «Abril 2026» y «Mayo 2026»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El detalle movimiento por movimiento. Cada renglón es una operación e incluye la fecha, el tipo, el monto, la socia, su CURP, el centro y quién la registró.</w:t>
      </w:r>
    </w:p>
    <w:p>
      <w:pPr>
        <w:pStyle w:val="Heading2"/>
        <w:spacing w:after="110" w:before="220"/>
      </w:pPr>
      <w:r>
        <w:rPr>
          <w:b/>
          <w:bCs/>
          <w:color w:val="1A1A1A"/>
          <w:sz w:val="22"/>
          <w:szCs w:val="22"/>
        </w:rPr>
        <w:t xml:space="preserve">Pestaña «Saldo por socia»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Cuánta garantía tiene acumulada cada socia hoy: 473 cuentas ordenadas por nombre, con su estatus y la fecha de su último depósito.</w:t>
      </w:r>
    </w:p>
    <w:p>
      <w:pPr>
        <w:pStyle w:val="Heading1"/>
        <w:spacing w:after="150" w:before="330"/>
      </w:pPr>
      <w:r>
        <w:rPr>
          <w:b/>
          <w:bCs/>
          <w:color w:val="324AB6"/>
          <w:sz w:val="25"/>
          <w:szCs w:val="25"/>
        </w:rPr>
        <w:t xml:space="preserve">Archivo 3 — Entrevistas de crédito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La primera pestaña es un «Índice» que dice cuántos registros tiene cada sección. Las siguientes siete pestañas son el expediente:</w:t>
      </w:r>
    </w:p>
    <w:tbl>
      <w:tblPr>
        <w:tblW w:type="dxa" w:w="9360"/>
        <w:tblBorders>
          <w:top w:val="single" w:color="C8CEDA" w:sz="1"/>
          <w:left w:val="single" w:color="C8CEDA" w:sz="1"/>
          <w:bottom w:val="single" w:color="C8CEDA" w:sz="1"/>
          <w:right w:val="single" w:color="C8CEDA" w:sz="1"/>
          <w:insideH w:val="single" w:color="C8CEDA" w:sz="1"/>
          <w:insideV w:val="single" w:color="C8CEDA" w:sz="1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15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Renglones</w:t>
            </w:r>
          </w:p>
        </w:tc>
        <w:tc>
          <w:tcPr>
            <w:tcW w:type="dxa" w:w="466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Socias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659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Identidad, domicilio, ocupación, estado civil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Vivienda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593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Tipo de vivienda y condiciones del hogar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Ingresos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592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Ingresos declarados por la socia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Familiares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592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Quiénes integran el núcleo familiar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Referencias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593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Referencias personales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Beneficiarios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597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Beneficiarios designados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Avales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162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Avales del crédito</w:t>
            </w:r>
          </w:p>
        </w:tc>
      </w:tr>
    </w:tbl>
    <w:p>
      <w:pPr>
        <w:spacing w:after="170" w:line="276"/>
      </w:pPr>
      <w:r>
        <w:rPr>
          <w:color w:val="1A1A1A"/>
          <w:sz w:val="21"/>
          <w:szCs w:val="21"/>
        </w:rPr>
        <w:t xml:space="preserve">En todas las pestañas, las dos primeras columnas son el nombre de la socia y su CURP, para que pueda identificar a quién corresponde cada renglón sin tener que buscar el número.</w:t>
      </w:r>
    </w:p>
    <w:p>
      <w:pPr>
        <w:pStyle w:val="Heading1"/>
        <w:spacing w:after="150" w:before="330"/>
      </w:pPr>
      <w:r>
        <w:rPr>
          <w:b/>
          <w:bCs/>
          <w:color w:val="324AB6"/>
          <w:sz w:val="25"/>
          <w:szCs w:val="25"/>
        </w:rPr>
        <w:t xml:space="preserve">Tres cosas prácticas</w:t>
      </w:r>
    </w:p>
    <w:p>
      <w:pPr>
        <w:pStyle w:val="Heading2"/>
        <w:spacing w:after="110" w:before="220"/>
      </w:pPr>
      <w:r>
        <w:rPr>
          <w:b/>
          <w:bCs/>
          <w:color w:val="1A1A1A"/>
          <w:sz w:val="22"/>
          <w:szCs w:val="22"/>
        </w:rPr>
        <w:t xml:space="preserve">Para buscar a una socia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Presione Ctrl+B (o Cmd+B en Mac) y escriba el nombre o la CURP. También puede usar las flechitas de filtro que están en los encabezados azules.</w:t>
      </w:r>
    </w:p>
    <w:p>
      <w:pPr>
        <w:pStyle w:val="Heading2"/>
        <w:spacing w:after="110" w:before="220"/>
      </w:pPr>
      <w:r>
        <w:rPr>
          <w:b/>
          <w:bCs/>
          <w:color w:val="1A1A1A"/>
          <w:sz w:val="22"/>
          <w:szCs w:val="22"/>
        </w:rPr>
        <w:t xml:space="preserve">Para cruzar información entre pestañas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Todas las secciones comparten la columna «ID socia». Ese número es el mismo en todas las pestañas y en los dos archivos, así que sirve para relacionar, por ejemplo, la vivienda de una socia con sus movimientos de garantía.</w:t>
      </w:r>
    </w:p>
    <w:p>
      <w:pPr>
        <w:pStyle w:val="Heading2"/>
        <w:spacing w:after="110" w:before="220"/>
      </w:pPr>
      <w:r>
        <w:rPr>
          <w:b/>
          <w:bCs/>
          <w:color w:val="1A1A1A"/>
          <w:sz w:val="22"/>
          <w:szCs w:val="22"/>
        </w:rPr>
        <w:t xml:space="preserve">Los encabezados están congelados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Al bajar por la hoja, la fila de títulos azul permanece visible. No hay que memorizar qué columna era cuál.</w:t>
      </w:r>
    </w:p>
    <w:p>
      <w:pPr>
        <w:pStyle w:val="Heading1"/>
        <w:spacing w:after="150" w:before="330"/>
      </w:pPr>
      <w:r>
        <w:rPr>
          <w:b/>
          <w:bCs/>
          <w:color w:val="324AB6"/>
          <w:sz w:val="25"/>
          <w:szCs w:val="25"/>
        </w:rPr>
        <w:t xml:space="preserve">Dos aclaraciones importantes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La sección de «muebles» del formato de entrevista no aparece porque está vacía en el sistema: esa parte nunca se capturó. No es información que se haya perdido.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Las garantías empiezan en abril de 2026 porque ese mes arrancó el módulo, coincidiendo con el cambio de cooperativa a financiera. El resto de la información del sistema sí conserva historia desde febrero de 2024.</w:t>
      </w:r>
    </w:p>
    <w:p>
      <w:pPr>
        <w:pStyle w:val="Heading1"/>
        <w:spacing w:after="150" w:before="330"/>
      </w:pPr>
      <w:r>
        <w:rPr>
          <w:b/>
          <w:bCs/>
          <w:color w:val="324AB6"/>
          <w:sz w:val="25"/>
          <w:szCs w:val="25"/>
        </w:rPr>
        <w:t xml:space="preserve">Si necesita otra cosa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La base de datos completa quedó respaldada (61 tablas: préstamos, pagos, mora, capital, centros, pagarés y más). Si requiere cualquier otro reporte, periodo o formato, puedo prepararlo a partir de ese respaldo sin necesidad de volver a entrar al sistema anterior.</w:t>
      </w:r>
    </w:p>
    <w:p>
      <w:pPr>
        <w:spacing w:before="400"/>
        <w:jc w:val="center"/>
      </w:pPr>
      <w:r>
        <w:rPr>
          <w:b/>
          <w:bCs/>
          <w:sz w:val="21"/>
          <w:szCs w:val="21"/>
        </w:rPr>
        <w:t xml:space="preserve">Ing. Karina Matus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los archivos — Entrega ESHLIDER</dc:title>
  <dc:creator>Ing. Karina Matus</dc:creator>
  <cp:lastModifiedBy>Un-named</cp:lastModifiedBy>
  <cp:revision>1</cp:revision>
  <dcterms:created xsi:type="dcterms:W3CDTF">2026-07-25T06:09:23.926Z</dcterms:created>
  <dcterms:modified xsi:type="dcterms:W3CDTF">2026-07-25T06:09:23.926Z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