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324AB6"/>
          <w:sz w:val="34"/>
          <w:szCs w:val="34"/>
        </w:rPr>
        <w:t xml:space="preserve">INFORME TÉCNICO A DIRECCIÓN</w:t>
      </w:r>
    </w:p>
    <w:p>
      <w:pPr>
        <w:pBdr>
          <w:bottom w:val="single" w:color="324AB6" w:sz="8" w:space="8"/>
        </w:pBdr>
        <w:spacing w:after="300"/>
        <w:jc w:val="center"/>
      </w:pPr>
      <w:r>
        <w:rPr>
          <w:b/>
          <w:bCs/>
          <w:color w:val="666666"/>
          <w:sz w:val="20"/>
          <w:szCs w:val="20"/>
        </w:rPr>
        <w:t xml:space="preserve">FOOAX</w:t>
      </w:r>
    </w:p>
    <w:tbl>
      <w:tblPr>
        <w:tblW w:type="dxa" w:w="9360"/>
        <w:tblBorders>
          <w:top w:val="none"/>
          <w:left w:val="none"/>
          <w:bottom w:val="none"/>
          <w:right w:val="none"/>
          <w:insideH w:val="none"/>
          <w:insideV w:val="none"/>
        </w:tblBorders>
      </w:tblPr>
      <w:tblGrid>
        <w:gridCol w:w="1300"/>
        <w:gridCol w:w="8060"/>
      </w:tblGrid>
      <w:tr>
        <w:tc>
          <w:tcPr>
            <w:tcW w:type="dxa" w:w="1300"/>
            <w:tcMar>
              <w:top w:type="dxa" w:w="70"/>
              <w:left w:type="dxa" w:w="110"/>
              <w:bottom w:type="dxa" w:w="70"/>
              <w:right w:type="dxa" w:w="110"/>
            </w:tcMar>
          </w:tcPr>
          <w:p>
            <w:pPr>
              <w:spacing w:after="0" w:line="260"/>
            </w:pPr>
            <w:r>
              <w:rPr>
                <w:b/>
                <w:bCs/>
                <w:color w:val="1A1A1A"/>
                <w:sz w:val="20"/>
                <w:szCs w:val="20"/>
              </w:rPr>
              <w:t xml:space="preserve">Para:</w:t>
            </w:r>
          </w:p>
        </w:tc>
        <w:tc>
          <w:tcPr>
            <w:tcW w:type="dxa" w:w="8060"/>
            <w:tcMar>
              <w:top w:type="dxa" w:w="70"/>
              <w:left w:type="dxa" w:w="110"/>
              <w:bottom w:type="dxa" w:w="70"/>
              <w:right w:type="dxa" w:w="110"/>
            </w:tcMar>
          </w:tcPr>
          <w:p>
            <w:pPr>
              <w:spacing w:after="0" w:line="260"/>
            </w:pPr>
            <w:r>
              <w:rPr>
                <w:color w:val="1A1A1A"/>
                <w:sz w:val="20"/>
                <w:szCs w:val="20"/>
              </w:rPr>
              <w:t xml:space="preserve">Lic. Anel Aydee Díaz Silva — Dirección General, FOOAX</w:t>
            </w:r>
          </w:p>
        </w:tc>
      </w:tr>
      <w:tr>
        <w:tc>
          <w:tcPr>
            <w:tcW w:type="dxa" w:w="1300"/>
            <w:tcMar>
              <w:top w:type="dxa" w:w="70"/>
              <w:left w:type="dxa" w:w="110"/>
              <w:bottom w:type="dxa" w:w="70"/>
              <w:right w:type="dxa" w:w="110"/>
            </w:tcMar>
          </w:tcPr>
          <w:p>
            <w:pPr>
              <w:spacing w:after="0" w:line="260"/>
            </w:pPr>
            <w:r>
              <w:rPr>
                <w:b/>
                <w:bCs/>
                <w:color w:val="1A1A1A"/>
                <w:sz w:val="20"/>
                <w:szCs w:val="20"/>
              </w:rPr>
              <w:t xml:space="preserve">De:</w:t>
            </w:r>
          </w:p>
        </w:tc>
        <w:tc>
          <w:tcPr>
            <w:tcW w:type="dxa" w:w="8060"/>
            <w:tcMar>
              <w:top w:type="dxa" w:w="70"/>
              <w:left w:type="dxa" w:w="110"/>
              <w:bottom w:type="dxa" w:w="70"/>
              <w:right w:type="dxa" w:w="110"/>
            </w:tcMar>
          </w:tcPr>
          <w:p>
            <w:pPr>
              <w:spacing w:after="0" w:line="260"/>
            </w:pPr>
            <w:r>
              <w:rPr>
                <w:color w:val="1A1A1A"/>
                <w:sz w:val="20"/>
                <w:szCs w:val="20"/>
              </w:rPr>
              <w:t xml:space="preserve">Ing. Karina Matus</w:t>
            </w:r>
          </w:p>
        </w:tc>
      </w:tr>
      <w:tr>
        <w:tc>
          <w:tcPr>
            <w:tcW w:type="dxa" w:w="1300"/>
            <w:tcMar>
              <w:top w:type="dxa" w:w="70"/>
              <w:left w:type="dxa" w:w="110"/>
              <w:bottom w:type="dxa" w:w="70"/>
              <w:right w:type="dxa" w:w="110"/>
            </w:tcMar>
          </w:tcPr>
          <w:p>
            <w:pPr>
              <w:spacing w:after="0" w:line="260"/>
            </w:pPr>
            <w:r>
              <w:rPr>
                <w:b/>
                <w:bCs/>
                <w:color w:val="1A1A1A"/>
                <w:sz w:val="20"/>
                <w:szCs w:val="20"/>
              </w:rPr>
              <w:t xml:space="preserve">Fecha:</w:t>
            </w:r>
          </w:p>
        </w:tc>
        <w:tc>
          <w:tcPr>
            <w:tcW w:type="dxa" w:w="8060"/>
            <w:tcMar>
              <w:top w:type="dxa" w:w="70"/>
              <w:left w:type="dxa" w:w="110"/>
              <w:bottom w:type="dxa" w:w="70"/>
              <w:right w:type="dxa" w:w="110"/>
            </w:tcMar>
          </w:tcPr>
          <w:p>
            <w:pPr>
              <w:spacing w:after="0" w:line="260"/>
            </w:pPr>
            <w:r>
              <w:rPr>
                <w:color w:val="1A1A1A"/>
                <w:sz w:val="20"/>
                <w:szCs w:val="20"/>
              </w:rPr>
              <w:t xml:space="preserve">Oaxaca de Juárez, 24 de julio de 2026</w:t>
            </w:r>
          </w:p>
        </w:tc>
      </w:tr>
      <w:tr>
        <w:tc>
          <w:tcPr>
            <w:tcW w:type="dxa" w:w="1300"/>
            <w:tcMar>
              <w:top w:type="dxa" w:w="70"/>
              <w:left w:type="dxa" w:w="110"/>
              <w:bottom w:type="dxa" w:w="70"/>
              <w:right w:type="dxa" w:w="110"/>
            </w:tcMar>
          </w:tcPr>
          <w:p>
            <w:pPr>
              <w:spacing w:after="0" w:line="260"/>
            </w:pPr>
            <w:r>
              <w:rPr>
                <w:b/>
                <w:bCs/>
                <w:color w:val="1A1A1A"/>
                <w:sz w:val="20"/>
                <w:szCs w:val="20"/>
              </w:rPr>
              <w:t xml:space="preserve">Asunto:</w:t>
            </w:r>
          </w:p>
        </w:tc>
        <w:tc>
          <w:tcPr>
            <w:tcW w:type="dxa" w:w="8060"/>
            <w:tcMar>
              <w:top w:type="dxa" w:w="70"/>
              <w:left w:type="dxa" w:w="110"/>
              <w:bottom w:type="dxa" w:w="70"/>
              <w:right w:type="dxa" w:w="110"/>
            </w:tcMar>
          </w:tcPr>
          <w:p>
            <w:pPr>
              <w:spacing w:after="0" w:line="260"/>
            </w:pPr>
            <w:r>
              <w:rPr>
                <w:color w:val="1A1A1A"/>
                <w:sz w:val="20"/>
                <w:szCs w:val="20"/>
              </w:rPr>
              <w:t xml:space="preserve">Resultado del rescate de información del sistema ESHLIDER y hallazgos sobre la entrega recibida del desarrollador anterior</w:t>
            </w:r>
          </w:p>
        </w:tc>
      </w:tr>
    </w:tbl>
    <w:p>
      <w:pPr>
        <w:spacing w:after="240"/>
      </w:pPr>
    </w:p>
    <w:p>
      <w:pPr>
        <w:pStyle w:val="Heading1"/>
        <w:spacing w:after="160" w:before="320"/>
      </w:pPr>
      <w:r>
        <w:rPr>
          <w:b/>
          <w:bCs/>
          <w:color w:val="324AB6"/>
          <w:sz w:val="26"/>
          <w:szCs w:val="26"/>
        </w:rPr>
        <w:t xml:space="preserve">1. Resumen ejecutivo</w:t>
      </w:r>
    </w:p>
    <w:p>
      <w:pPr>
        <w:spacing w:after="140" w:line="276"/>
      </w:pPr>
      <w:r>
        <w:rPr>
          <w:color w:val="1A1A1A"/>
          <w:sz w:val="21"/>
          <w:szCs w:val="21"/>
        </w:rPr>
        <w:t xml:space="preserve">En atención a la solicitud urgente de la Gerencia de Administración y Finanzas del 23 de julio, informo que la información de FOOAX ya fue respaldada en su totalidad. Se descargaron las 61 tablas de la base de datos del sistema ESHLIDER, incluyendo lo solicitado: el reporte de garantías de abril y mayo, y el respaldo completo de las entrevistas de crédito.</w:t>
      </w:r>
    </w:p>
    <w:p>
      <w:pPr>
        <w:spacing w:after="140" w:line="276"/>
      </w:pPr>
      <w:r>
        <w:rPr>
          <w:color w:val="1A1A1A"/>
          <w:sz w:val="21"/>
          <w:szCs w:val="21"/>
        </w:rPr>
        <w:t xml:space="preserve">El respaldo se realizó únicamente en modo lectura: no se modificó, borró ni alteró nada en el sistema en operación.</w:t>
      </w:r>
    </w:p>
    <w:p>
      <w:pPr>
        <w:spacing w:after="140" w:line="276"/>
      </w:pPr>
      <w:r>
        <w:rPr>
          <w:color w:val="1A1A1A"/>
          <w:sz w:val="21"/>
          <w:szCs w:val="21"/>
        </w:rPr>
        <w:t xml:space="preserve">Sin embargo, al revisar el código fuente entregado por el desarrollador anterior encontré cuatro situaciones que requieren la atención de Dirección, detalladas en el apartado 3. La más importante: la entrega recibida no incluye los datos de la empresa.</w:t>
      </w:r>
    </w:p>
    <w:p>
      <w:pPr>
        <w:pStyle w:val="Heading1"/>
        <w:spacing w:after="160" w:before="320"/>
      </w:pPr>
      <w:r>
        <w:rPr>
          <w:b/>
          <w:bCs/>
          <w:color w:val="324AB6"/>
          <w:sz w:val="26"/>
          <w:szCs w:val="26"/>
        </w:rPr>
        <w:t xml:space="preserve">2. Lo que ya está resguardado</w:t>
      </w:r>
    </w:p>
    <w:p>
      <w:pPr>
        <w:pStyle w:val="Heading2"/>
        <w:spacing w:after="120" w:before="240"/>
      </w:pPr>
      <w:r>
        <w:rPr>
          <w:b/>
          <w:bCs/>
          <w:color w:val="1A1A1A"/>
          <w:sz w:val="22"/>
          <w:szCs w:val="22"/>
        </w:rPr>
        <w:t xml:space="preserve">2.1 Garantías — abril y mayo 2026</w:t>
      </w:r>
    </w:p>
    <w:tbl>
      <w:tblPr>
        <w:tblW w:type="dxa" w:w="9360"/>
        <w:tblBorders>
          <w:top w:val="single" w:color="C8CEDA" w:sz="1"/>
          <w:left w:val="single" w:color="C8CEDA" w:sz="1"/>
          <w:bottom w:val="single" w:color="C8CEDA" w:sz="1"/>
          <w:right w:val="single" w:color="C8CEDA" w:sz="1"/>
          <w:insideH w:val="single" w:color="C8CEDA" w:sz="1"/>
          <w:insideV w:val="single" w:color="C8CEDA" w:sz="1"/>
        </w:tblBorders>
      </w:tblPr>
      <w:tblGrid>
        <w:gridCol w:w="1400"/>
        <w:gridCol w:w="3660"/>
        <w:gridCol w:w="2150"/>
        <w:gridCol w:w="2150"/>
      </w:tblGrid>
      <w:tr>
        <w:trPr>
          <w:tblHeader/>
        </w:trPr>
        <w:tc>
          <w:tcPr>
            <w:tcW w:type="dxa" w:w="1400"/>
            <w:shd w:fill="324AB6" w:color="auto" w:val="clear"/>
            <w:tcMar>
              <w:top w:type="dxa" w:w="70"/>
              <w:left w:type="dxa" w:w="110"/>
              <w:bottom w:type="dxa" w:w="70"/>
              <w:right w:type="dxa" w:w="110"/>
            </w:tcMar>
          </w:tcPr>
          <w:p>
            <w:pPr>
              <w:spacing w:after="0" w:line="260"/>
            </w:pPr>
            <w:r>
              <w:rPr>
                <w:b/>
                <w:bCs/>
                <w:color w:val="FFFFFF"/>
                <w:sz w:val="20"/>
                <w:szCs w:val="20"/>
              </w:rPr>
              <w:t xml:space="preserve">Mes</w:t>
            </w:r>
          </w:p>
        </w:tc>
        <w:tc>
          <w:tcPr>
            <w:tcW w:type="dxa" w:w="3660"/>
            <w:shd w:fill="324AB6" w:color="auto" w:val="clear"/>
            <w:tcMar>
              <w:top w:type="dxa" w:w="70"/>
              <w:left w:type="dxa" w:w="110"/>
              <w:bottom w:type="dxa" w:w="70"/>
              <w:right w:type="dxa" w:w="110"/>
            </w:tcMar>
          </w:tcPr>
          <w:p>
            <w:pPr>
              <w:spacing w:after="0" w:line="260"/>
            </w:pPr>
            <w:r>
              <w:rPr>
                <w:b/>
                <w:bCs/>
                <w:color w:val="FFFFFF"/>
                <w:sz w:val="20"/>
                <w:szCs w:val="20"/>
              </w:rPr>
              <w:t xml:space="preserve">Concepto</w:t>
            </w:r>
          </w:p>
        </w:tc>
        <w:tc>
          <w:tcPr>
            <w:tcW w:type="dxa" w:w="2150"/>
            <w:shd w:fill="324AB6" w:color="auto" w:val="clear"/>
            <w:tcMar>
              <w:top w:type="dxa" w:w="70"/>
              <w:left w:type="dxa" w:w="110"/>
              <w:bottom w:type="dxa" w:w="70"/>
              <w:right w:type="dxa" w:w="110"/>
            </w:tcMar>
          </w:tcPr>
          <w:p>
            <w:pPr>
              <w:spacing w:after="0" w:line="260"/>
              <w:jc w:val="right"/>
            </w:pPr>
            <w:r>
              <w:rPr>
                <w:b/>
                <w:bCs/>
                <w:color w:val="FFFFFF"/>
                <w:sz w:val="20"/>
                <w:szCs w:val="20"/>
              </w:rPr>
              <w:t xml:space="preserve">Movimientos</w:t>
            </w:r>
          </w:p>
        </w:tc>
        <w:tc>
          <w:tcPr>
            <w:tcW w:type="dxa" w:w="2150"/>
            <w:shd w:fill="324AB6" w:color="auto" w:val="clear"/>
            <w:tcMar>
              <w:top w:type="dxa" w:w="70"/>
              <w:left w:type="dxa" w:w="110"/>
              <w:bottom w:type="dxa" w:w="70"/>
              <w:right w:type="dxa" w:w="110"/>
            </w:tcMar>
          </w:tcPr>
          <w:p>
            <w:pPr>
              <w:spacing w:after="0" w:line="260"/>
              <w:jc w:val="right"/>
            </w:pPr>
            <w:r>
              <w:rPr>
                <w:b/>
                <w:bCs/>
                <w:color w:val="FFFFFF"/>
                <w:sz w:val="20"/>
                <w:szCs w:val="20"/>
              </w:rPr>
              <w:t xml:space="preserve">Monto</w:t>
            </w:r>
          </w:p>
        </w:tc>
      </w:tr>
      <w:tr>
        <w:tc>
          <w:tcPr>
            <w:tcW w:type="dxa" w:w="140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Abril</w:t>
            </w:r>
          </w:p>
        </w:tc>
        <w:tc>
          <w:tcPr>
            <w:tcW w:type="dxa" w:w="366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Depósitos</w:t>
            </w:r>
          </w:p>
        </w:tc>
        <w:tc>
          <w:tcPr>
            <w:tcW w:type="dxa" w:w="2150"/>
            <w:tcMar>
              <w:top w:type="dxa" w:w="70"/>
              <w:left w:type="dxa" w:w="110"/>
              <w:bottom w:type="dxa" w:w="70"/>
              <w:right w:type="dxa" w:w="110"/>
            </w:tcMar>
          </w:tcPr>
          <w:p>
            <w:pPr>
              <w:spacing w:after="0" w:line="260"/>
              <w:jc w:val="right"/>
            </w:pPr>
            <w:r>
              <w:rPr>
                <w:color w:val="1A1A1A"/>
                <w:sz w:val="20"/>
                <w:szCs w:val="20"/>
              </w:rPr>
              <w:t xml:space="preserve">1,051</w:t>
            </w:r>
          </w:p>
        </w:tc>
        <w:tc>
          <w:tcPr>
            <w:tcW w:type="dxa" w:w="2150"/>
            <w:tcMar>
              <w:top w:type="dxa" w:w="70"/>
              <w:left w:type="dxa" w:w="110"/>
              <w:bottom w:type="dxa" w:w="70"/>
              <w:right w:type="dxa" w:w="110"/>
            </w:tcMar>
          </w:tcPr>
          <w:p>
            <w:pPr>
              <w:spacing w:after="0" w:line="260"/>
              <w:jc w:val="right"/>
            </w:pPr>
            <w:r>
              <w:rPr>
                <w:color w:val="1A1A1A"/>
                <w:sz w:val="20"/>
                <w:szCs w:val="20"/>
              </w:rPr>
              <w:t xml:space="preserve">$60,681.00</w:t>
            </w:r>
          </w:p>
        </w:tc>
      </w:tr>
      <w:tr>
        <w:tc>
          <w:tcPr>
            <w:tcW w:type="dxa" w:w="140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Abril</w:t>
            </w:r>
          </w:p>
        </w:tc>
        <w:tc>
          <w:tcPr>
            <w:tcW w:type="dxa" w:w="366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Retiros</w:t>
            </w:r>
          </w:p>
        </w:tc>
        <w:tc>
          <w:tcPr>
            <w:tcW w:type="dxa" w:w="2150"/>
            <w:tcMar>
              <w:top w:type="dxa" w:w="70"/>
              <w:left w:type="dxa" w:w="110"/>
              <w:bottom w:type="dxa" w:w="70"/>
              <w:right w:type="dxa" w:w="110"/>
            </w:tcMar>
          </w:tcPr>
          <w:p>
            <w:pPr>
              <w:spacing w:after="0" w:line="260"/>
              <w:jc w:val="right"/>
            </w:pPr>
            <w:r>
              <w:rPr>
                <w:color w:val="1A1A1A"/>
                <w:sz w:val="20"/>
                <w:szCs w:val="20"/>
              </w:rPr>
              <w:t xml:space="preserve">52</w:t>
            </w:r>
          </w:p>
        </w:tc>
        <w:tc>
          <w:tcPr>
            <w:tcW w:type="dxa" w:w="2150"/>
            <w:tcMar>
              <w:top w:type="dxa" w:w="70"/>
              <w:left w:type="dxa" w:w="110"/>
              <w:bottom w:type="dxa" w:w="70"/>
              <w:right w:type="dxa" w:w="110"/>
            </w:tcMar>
          </w:tcPr>
          <w:p>
            <w:pPr>
              <w:spacing w:after="0" w:line="260"/>
              <w:jc w:val="right"/>
            </w:pPr>
            <w:r>
              <w:rPr>
                <w:color w:val="1A1A1A"/>
                <w:sz w:val="20"/>
                <w:szCs w:val="20"/>
              </w:rPr>
              <w:t xml:space="preserve">$25,902.00</w:t>
            </w:r>
          </w:p>
        </w:tc>
      </w:tr>
      <w:tr>
        <w:tc>
          <w:tcPr>
            <w:tcW w:type="dxa" w:w="140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Abril</w:t>
            </w:r>
          </w:p>
        </w:tc>
        <w:tc>
          <w:tcPr>
            <w:tcW w:type="dxa" w:w="366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Aperturas</w:t>
            </w:r>
          </w:p>
        </w:tc>
        <w:tc>
          <w:tcPr>
            <w:tcW w:type="dxa" w:w="2150"/>
            <w:tcMar>
              <w:top w:type="dxa" w:w="70"/>
              <w:left w:type="dxa" w:w="110"/>
              <w:bottom w:type="dxa" w:w="70"/>
              <w:right w:type="dxa" w:w="110"/>
            </w:tcMar>
          </w:tcPr>
          <w:p>
            <w:pPr>
              <w:spacing w:after="0" w:line="260"/>
              <w:jc w:val="right"/>
            </w:pPr>
            <w:r>
              <w:rPr>
                <w:color w:val="1A1A1A"/>
                <w:sz w:val="20"/>
                <w:szCs w:val="20"/>
              </w:rPr>
              <w:t xml:space="preserve">362</w:t>
            </w:r>
          </w:p>
        </w:tc>
        <w:tc>
          <w:tcPr>
            <w:tcW w:type="dxa" w:w="2150"/>
            <w:tcMar>
              <w:top w:type="dxa" w:w="70"/>
              <w:left w:type="dxa" w:w="110"/>
              <w:bottom w:type="dxa" w:w="70"/>
              <w:right w:type="dxa" w:w="110"/>
            </w:tcMar>
          </w:tcPr>
          <w:p>
            <w:pPr>
              <w:spacing w:after="0" w:line="260"/>
              <w:jc w:val="right"/>
            </w:pPr>
            <w:r>
              <w:rPr>
                <w:color w:val="1A1A1A"/>
                <w:sz w:val="20"/>
                <w:szCs w:val="20"/>
              </w:rPr>
              <w:t xml:space="preserve">—</w:t>
            </w:r>
          </w:p>
        </w:tc>
      </w:tr>
      <w:tr>
        <w:tc>
          <w:tcPr>
            <w:tcW w:type="dxa" w:w="140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Mayo</w:t>
            </w:r>
          </w:p>
        </w:tc>
        <w:tc>
          <w:tcPr>
            <w:tcW w:type="dxa" w:w="366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Depósitos</w:t>
            </w:r>
          </w:p>
        </w:tc>
        <w:tc>
          <w:tcPr>
            <w:tcW w:type="dxa" w:w="2150"/>
            <w:tcMar>
              <w:top w:type="dxa" w:w="70"/>
              <w:left w:type="dxa" w:w="110"/>
              <w:bottom w:type="dxa" w:w="70"/>
              <w:right w:type="dxa" w:w="110"/>
            </w:tcMar>
          </w:tcPr>
          <w:p>
            <w:pPr>
              <w:spacing w:after="0" w:line="260"/>
              <w:jc w:val="right"/>
            </w:pPr>
            <w:r>
              <w:rPr>
                <w:color w:val="1A1A1A"/>
                <w:sz w:val="20"/>
                <w:szCs w:val="20"/>
              </w:rPr>
              <w:t xml:space="preserve">1,150</w:t>
            </w:r>
          </w:p>
        </w:tc>
        <w:tc>
          <w:tcPr>
            <w:tcW w:type="dxa" w:w="2150"/>
            <w:tcMar>
              <w:top w:type="dxa" w:w="70"/>
              <w:left w:type="dxa" w:w="110"/>
              <w:bottom w:type="dxa" w:w="70"/>
              <w:right w:type="dxa" w:w="110"/>
            </w:tcMar>
          </w:tcPr>
          <w:p>
            <w:pPr>
              <w:spacing w:after="0" w:line="260"/>
              <w:jc w:val="right"/>
            </w:pPr>
            <w:r>
              <w:rPr>
                <w:color w:val="1A1A1A"/>
                <w:sz w:val="20"/>
                <w:szCs w:val="20"/>
              </w:rPr>
              <w:t xml:space="preserve">$72,357.00</w:t>
            </w:r>
          </w:p>
        </w:tc>
      </w:tr>
      <w:tr>
        <w:tc>
          <w:tcPr>
            <w:tcW w:type="dxa" w:w="140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Mayo</w:t>
            </w:r>
          </w:p>
        </w:tc>
        <w:tc>
          <w:tcPr>
            <w:tcW w:type="dxa" w:w="366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Retiros</w:t>
            </w:r>
          </w:p>
        </w:tc>
        <w:tc>
          <w:tcPr>
            <w:tcW w:type="dxa" w:w="2150"/>
            <w:tcMar>
              <w:top w:type="dxa" w:w="70"/>
              <w:left w:type="dxa" w:w="110"/>
              <w:bottom w:type="dxa" w:w="70"/>
              <w:right w:type="dxa" w:w="110"/>
            </w:tcMar>
          </w:tcPr>
          <w:p>
            <w:pPr>
              <w:spacing w:after="0" w:line="260"/>
              <w:jc w:val="right"/>
            </w:pPr>
            <w:r>
              <w:rPr>
                <w:color w:val="1A1A1A"/>
                <w:sz w:val="20"/>
                <w:szCs w:val="20"/>
              </w:rPr>
              <w:t xml:space="preserve">97</w:t>
            </w:r>
          </w:p>
        </w:tc>
        <w:tc>
          <w:tcPr>
            <w:tcW w:type="dxa" w:w="2150"/>
            <w:tcMar>
              <w:top w:type="dxa" w:w="70"/>
              <w:left w:type="dxa" w:w="110"/>
              <w:bottom w:type="dxa" w:w="70"/>
              <w:right w:type="dxa" w:w="110"/>
            </w:tcMar>
          </w:tcPr>
          <w:p>
            <w:pPr>
              <w:spacing w:after="0" w:line="260"/>
              <w:jc w:val="right"/>
            </w:pPr>
            <w:r>
              <w:rPr>
                <w:color w:val="1A1A1A"/>
                <w:sz w:val="20"/>
                <w:szCs w:val="20"/>
              </w:rPr>
              <w:t xml:space="preserve">$41,308.50</w:t>
            </w:r>
          </w:p>
        </w:tc>
      </w:tr>
      <w:tr>
        <w:tc>
          <w:tcPr>
            <w:tcW w:type="dxa" w:w="140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Mayo</w:t>
            </w:r>
          </w:p>
        </w:tc>
        <w:tc>
          <w:tcPr>
            <w:tcW w:type="dxa" w:w="366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Aperturas</w:t>
            </w:r>
          </w:p>
        </w:tc>
        <w:tc>
          <w:tcPr>
            <w:tcW w:type="dxa" w:w="2150"/>
            <w:tcMar>
              <w:top w:type="dxa" w:w="70"/>
              <w:left w:type="dxa" w:w="110"/>
              <w:bottom w:type="dxa" w:w="70"/>
              <w:right w:type="dxa" w:w="110"/>
            </w:tcMar>
          </w:tcPr>
          <w:p>
            <w:pPr>
              <w:spacing w:after="0" w:line="260"/>
              <w:jc w:val="right"/>
            </w:pPr>
            <w:r>
              <w:rPr>
                <w:color w:val="1A1A1A"/>
                <w:sz w:val="20"/>
                <w:szCs w:val="20"/>
              </w:rPr>
              <w:t xml:space="preserve">51</w:t>
            </w:r>
          </w:p>
        </w:tc>
        <w:tc>
          <w:tcPr>
            <w:tcW w:type="dxa" w:w="2150"/>
            <w:tcMar>
              <w:top w:type="dxa" w:w="70"/>
              <w:left w:type="dxa" w:w="110"/>
              <w:bottom w:type="dxa" w:w="70"/>
              <w:right w:type="dxa" w:w="110"/>
            </w:tcMar>
          </w:tcPr>
          <w:p>
            <w:pPr>
              <w:spacing w:after="0" w:line="260"/>
              <w:jc w:val="right"/>
            </w:pPr>
            <w:r>
              <w:rPr>
                <w:color w:val="1A1A1A"/>
                <w:sz w:val="20"/>
                <w:szCs w:val="20"/>
              </w:rPr>
              <w:t xml:space="preserve">—</w:t>
            </w:r>
          </w:p>
        </w:tc>
      </w:tr>
      <w:tr>
        <w:tc>
          <w:tcPr>
            <w:tcW w:type="dxa" w:w="1400"/>
            <w:shd w:fill="F2F4F8" w:color="auto" w:val="clear"/>
            <w:tcMar>
              <w:top w:type="dxa" w:w="70"/>
              <w:left w:type="dxa" w:w="110"/>
              <w:bottom w:type="dxa" w:w="70"/>
              <w:right w:type="dxa" w:w="110"/>
            </w:tcMar>
          </w:tcPr>
          <w:p>
            <w:pPr>
              <w:spacing w:after="0" w:line="260"/>
            </w:pPr>
            <w:r>
              <w:rPr>
                <w:b/>
                <w:bCs/>
                <w:color w:val="1A1A1A"/>
                <w:sz w:val="20"/>
                <w:szCs w:val="20"/>
              </w:rPr>
              <w:t xml:space="preserve">Total del periodo</w:t>
            </w:r>
          </w:p>
        </w:tc>
        <w:tc>
          <w:tcPr>
            <w:tcW w:type="dxa" w:w="3660"/>
            <w:shd w:fill="F2F4F8" w:color="auto" w:val="clear"/>
            <w:tcMar>
              <w:top w:type="dxa" w:w="70"/>
              <w:left w:type="dxa" w:w="110"/>
              <w:bottom w:type="dxa" w:w="70"/>
              <w:right w:type="dxa" w:w="110"/>
            </w:tcMar>
          </w:tcPr>
          <w:p>
            <w:pPr>
              <w:spacing w:after="0" w:line="260"/>
            </w:pPr>
            <w:r>
              <w:rPr>
                <w:color w:val="1A1A1A"/>
                <w:sz w:val="20"/>
                <w:szCs w:val="20"/>
              </w:rPr>
              <w:t xml:space="preserve"/>
            </w:r>
          </w:p>
        </w:tc>
        <w:tc>
          <w:tcPr>
            <w:tcW w:type="dxa" w:w="2150"/>
            <w:shd w:fill="F2F4F8" w:color="auto" w:val="clear"/>
            <w:tcMar>
              <w:top w:type="dxa" w:w="70"/>
              <w:left w:type="dxa" w:w="110"/>
              <w:bottom w:type="dxa" w:w="70"/>
              <w:right w:type="dxa" w:w="110"/>
            </w:tcMar>
          </w:tcPr>
          <w:p>
            <w:pPr>
              <w:spacing w:after="0" w:line="260"/>
              <w:jc w:val="right"/>
            </w:pPr>
            <w:r>
              <w:rPr>
                <w:b/>
                <w:bCs/>
                <w:color w:val="1A1A1A"/>
                <w:sz w:val="20"/>
                <w:szCs w:val="20"/>
              </w:rPr>
              <w:t xml:space="preserve">2,763</w:t>
            </w:r>
          </w:p>
        </w:tc>
        <w:tc>
          <w:tcPr>
            <w:tcW w:type="dxa" w:w="2150"/>
            <w:shd w:fill="F2F4F8" w:color="auto" w:val="clear"/>
            <w:tcMar>
              <w:top w:type="dxa" w:w="70"/>
              <w:left w:type="dxa" w:w="110"/>
              <w:bottom w:type="dxa" w:w="70"/>
              <w:right w:type="dxa" w:w="110"/>
            </w:tcMar>
          </w:tcPr>
          <w:p>
            <w:pPr>
              <w:spacing w:after="0" w:line="260"/>
              <w:jc w:val="right"/>
            </w:pPr>
            <w:r>
              <w:rPr>
                <w:b/>
                <w:bCs/>
                <w:color w:val="1A1A1A"/>
                <w:sz w:val="20"/>
                <w:szCs w:val="20"/>
              </w:rPr>
              <w:t xml:space="preserve">$200,248.50</w:t>
            </w:r>
          </w:p>
        </w:tc>
      </w:tr>
    </w:tbl>
    <w:p>
      <w:pPr>
        <w:spacing w:after="140" w:before="140"/>
      </w:pPr>
      <w:r>
        <w:rPr>
          <w:b/>
          <w:bCs/>
          <w:sz w:val="21"/>
          <w:szCs w:val="21"/>
        </w:rPr>
        <w:t xml:space="preserve">Saldo de garantías vigente: </w:t>
      </w:r>
      <w:r>
        <w:rPr>
          <w:sz w:val="21"/>
          <w:szCs w:val="21"/>
        </w:rPr>
        <w:t xml:space="preserve">$97,449.40 distribuidos en 473 cuentas, con desglose individual por socia.</w:t>
      </w:r>
    </w:p>
    <w:p>
      <w:pPr>
        <w:pStyle w:val="Heading2"/>
        <w:spacing w:after="120" w:before="240"/>
      </w:pPr>
      <w:r>
        <w:rPr>
          <w:b/>
          <w:bCs/>
          <w:color w:val="1A1A1A"/>
          <w:sz w:val="22"/>
          <w:szCs w:val="22"/>
        </w:rPr>
        <w:t xml:space="preserve">2.2 Entrevistas de crédito</w:t>
      </w:r>
    </w:p>
    <w:p>
      <w:pPr>
        <w:spacing w:after="140" w:line="276"/>
      </w:pPr>
      <w:r>
        <w:rPr>
          <w:color w:val="1A1A1A"/>
          <w:sz w:val="21"/>
          <w:szCs w:val="21"/>
        </w:rPr>
        <w:t xml:space="preserve">Se resguardaron 3,788 registros del expediente socioeconómico completo:</w:t>
      </w:r>
    </w:p>
    <w:tbl>
      <w:tblPr>
        <w:tblW w:type="dxa" w:w="9360"/>
        <w:tblBorders>
          <w:top w:val="single" w:color="C8CEDA" w:sz="1"/>
          <w:left w:val="single" w:color="C8CEDA" w:sz="1"/>
          <w:bottom w:val="single" w:color="C8CEDA" w:sz="1"/>
          <w:right w:val="single" w:color="C8CEDA" w:sz="1"/>
          <w:insideH w:val="single" w:color="C8CEDA" w:sz="1"/>
          <w:insideV w:val="single" w:color="C8CEDA" w:sz="1"/>
        </w:tblBorders>
      </w:tblPr>
      <w:tblGrid>
        <w:gridCol w:w="6360"/>
        <w:gridCol w:w="3000"/>
      </w:tblGrid>
      <w:tr>
        <w:trPr>
          <w:tblHeader/>
        </w:trPr>
        <w:tc>
          <w:tcPr>
            <w:tcW w:type="dxa" w:w="6360"/>
            <w:shd w:fill="324AB6" w:color="auto" w:val="clear"/>
            <w:tcMar>
              <w:top w:type="dxa" w:w="70"/>
              <w:left w:type="dxa" w:w="110"/>
              <w:bottom w:type="dxa" w:w="70"/>
              <w:right w:type="dxa" w:w="110"/>
            </w:tcMar>
          </w:tcPr>
          <w:p>
            <w:pPr>
              <w:spacing w:after="0" w:line="260"/>
            </w:pPr>
            <w:r>
              <w:rPr>
                <w:b/>
                <w:bCs/>
                <w:color w:val="FFFFFF"/>
                <w:sz w:val="20"/>
                <w:szCs w:val="20"/>
              </w:rPr>
              <w:t xml:space="preserve">Componente</w:t>
            </w:r>
          </w:p>
        </w:tc>
        <w:tc>
          <w:tcPr>
            <w:tcW w:type="dxa" w:w="3000"/>
            <w:shd w:fill="324AB6" w:color="auto" w:val="clear"/>
            <w:tcMar>
              <w:top w:type="dxa" w:w="70"/>
              <w:left w:type="dxa" w:w="110"/>
              <w:bottom w:type="dxa" w:w="70"/>
              <w:right w:type="dxa" w:w="110"/>
            </w:tcMar>
          </w:tcPr>
          <w:p>
            <w:pPr>
              <w:spacing w:after="0" w:line="260"/>
              <w:jc w:val="right"/>
            </w:pPr>
            <w:r>
              <w:rPr>
                <w:b/>
                <w:bCs/>
                <w:color w:val="FFFFFF"/>
                <w:sz w:val="20"/>
                <w:szCs w:val="20"/>
              </w:rPr>
              <w:t xml:space="preserve">Registros</w:t>
            </w:r>
          </w:p>
        </w:tc>
      </w:tr>
      <w:tr>
        <w:tc>
          <w:tcPr>
            <w:tcW w:type="dxa" w:w="636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Clientas</w:t>
            </w:r>
          </w:p>
        </w:tc>
        <w:tc>
          <w:tcPr>
            <w:tcW w:type="dxa" w:w="3000"/>
            <w:tcMar>
              <w:top w:type="dxa" w:w="70"/>
              <w:left w:type="dxa" w:w="110"/>
              <w:bottom w:type="dxa" w:w="70"/>
              <w:right w:type="dxa" w:w="110"/>
            </w:tcMar>
          </w:tcPr>
          <w:p>
            <w:pPr>
              <w:spacing w:after="0" w:line="260"/>
              <w:jc w:val="right"/>
            </w:pPr>
            <w:r>
              <w:rPr>
                <w:color w:val="1A1A1A"/>
                <w:sz w:val="20"/>
                <w:szCs w:val="20"/>
              </w:rPr>
              <w:t xml:space="preserve">659</w:t>
            </w:r>
          </w:p>
        </w:tc>
      </w:tr>
      <w:tr>
        <w:tc>
          <w:tcPr>
            <w:tcW w:type="dxa" w:w="636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Vivienda</w:t>
            </w:r>
          </w:p>
        </w:tc>
        <w:tc>
          <w:tcPr>
            <w:tcW w:type="dxa" w:w="3000"/>
            <w:tcMar>
              <w:top w:type="dxa" w:w="70"/>
              <w:left w:type="dxa" w:w="110"/>
              <w:bottom w:type="dxa" w:w="70"/>
              <w:right w:type="dxa" w:w="110"/>
            </w:tcMar>
          </w:tcPr>
          <w:p>
            <w:pPr>
              <w:spacing w:after="0" w:line="260"/>
              <w:jc w:val="right"/>
            </w:pPr>
            <w:r>
              <w:rPr>
                <w:color w:val="1A1A1A"/>
                <w:sz w:val="20"/>
                <w:szCs w:val="20"/>
              </w:rPr>
              <w:t xml:space="preserve">593</w:t>
            </w:r>
          </w:p>
        </w:tc>
      </w:tr>
      <w:tr>
        <w:tc>
          <w:tcPr>
            <w:tcW w:type="dxa" w:w="636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Ingresos</w:t>
            </w:r>
          </w:p>
        </w:tc>
        <w:tc>
          <w:tcPr>
            <w:tcW w:type="dxa" w:w="3000"/>
            <w:tcMar>
              <w:top w:type="dxa" w:w="70"/>
              <w:left w:type="dxa" w:w="110"/>
              <w:bottom w:type="dxa" w:w="70"/>
              <w:right w:type="dxa" w:w="110"/>
            </w:tcMar>
          </w:tcPr>
          <w:p>
            <w:pPr>
              <w:spacing w:after="0" w:line="260"/>
              <w:jc w:val="right"/>
            </w:pPr>
            <w:r>
              <w:rPr>
                <w:color w:val="1A1A1A"/>
                <w:sz w:val="20"/>
                <w:szCs w:val="20"/>
              </w:rPr>
              <w:t xml:space="preserve">592</w:t>
            </w:r>
          </w:p>
        </w:tc>
      </w:tr>
      <w:tr>
        <w:tc>
          <w:tcPr>
            <w:tcW w:type="dxa" w:w="636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Familiares</w:t>
            </w:r>
          </w:p>
        </w:tc>
        <w:tc>
          <w:tcPr>
            <w:tcW w:type="dxa" w:w="3000"/>
            <w:tcMar>
              <w:top w:type="dxa" w:w="70"/>
              <w:left w:type="dxa" w:w="110"/>
              <w:bottom w:type="dxa" w:w="70"/>
              <w:right w:type="dxa" w:w="110"/>
            </w:tcMar>
          </w:tcPr>
          <w:p>
            <w:pPr>
              <w:spacing w:after="0" w:line="260"/>
              <w:jc w:val="right"/>
            </w:pPr>
            <w:r>
              <w:rPr>
                <w:color w:val="1A1A1A"/>
                <w:sz w:val="20"/>
                <w:szCs w:val="20"/>
              </w:rPr>
              <w:t xml:space="preserve">592</w:t>
            </w:r>
          </w:p>
        </w:tc>
      </w:tr>
      <w:tr>
        <w:tc>
          <w:tcPr>
            <w:tcW w:type="dxa" w:w="636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Referencias</w:t>
            </w:r>
          </w:p>
        </w:tc>
        <w:tc>
          <w:tcPr>
            <w:tcW w:type="dxa" w:w="3000"/>
            <w:tcMar>
              <w:top w:type="dxa" w:w="70"/>
              <w:left w:type="dxa" w:w="110"/>
              <w:bottom w:type="dxa" w:w="70"/>
              <w:right w:type="dxa" w:w="110"/>
            </w:tcMar>
          </w:tcPr>
          <w:p>
            <w:pPr>
              <w:spacing w:after="0" w:line="260"/>
              <w:jc w:val="right"/>
            </w:pPr>
            <w:r>
              <w:rPr>
                <w:color w:val="1A1A1A"/>
                <w:sz w:val="20"/>
                <w:szCs w:val="20"/>
              </w:rPr>
              <w:t xml:space="preserve">593</w:t>
            </w:r>
          </w:p>
        </w:tc>
      </w:tr>
      <w:tr>
        <w:tc>
          <w:tcPr>
            <w:tcW w:type="dxa" w:w="636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Beneficiarios</w:t>
            </w:r>
          </w:p>
        </w:tc>
        <w:tc>
          <w:tcPr>
            <w:tcW w:type="dxa" w:w="3000"/>
            <w:tcMar>
              <w:top w:type="dxa" w:w="70"/>
              <w:left w:type="dxa" w:w="110"/>
              <w:bottom w:type="dxa" w:w="70"/>
              <w:right w:type="dxa" w:w="110"/>
            </w:tcMar>
          </w:tcPr>
          <w:p>
            <w:pPr>
              <w:spacing w:after="0" w:line="260"/>
              <w:jc w:val="right"/>
            </w:pPr>
            <w:r>
              <w:rPr>
                <w:color w:val="1A1A1A"/>
                <w:sz w:val="20"/>
                <w:szCs w:val="20"/>
              </w:rPr>
              <w:t xml:space="preserve">597</w:t>
            </w:r>
          </w:p>
        </w:tc>
      </w:tr>
      <w:tr>
        <w:tc>
          <w:tcPr>
            <w:tcW w:type="dxa" w:w="636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Avales</w:t>
            </w:r>
          </w:p>
        </w:tc>
        <w:tc>
          <w:tcPr>
            <w:tcW w:type="dxa" w:w="3000"/>
            <w:tcMar>
              <w:top w:type="dxa" w:w="70"/>
              <w:left w:type="dxa" w:w="110"/>
              <w:bottom w:type="dxa" w:w="70"/>
              <w:right w:type="dxa" w:w="110"/>
            </w:tcMar>
          </w:tcPr>
          <w:p>
            <w:pPr>
              <w:spacing w:after="0" w:line="260"/>
              <w:jc w:val="right"/>
            </w:pPr>
            <w:r>
              <w:rPr>
                <w:color w:val="1A1A1A"/>
                <w:sz w:val="20"/>
                <w:szCs w:val="20"/>
              </w:rPr>
              <w:t xml:space="preserve">162</w:t>
            </w:r>
          </w:p>
        </w:tc>
      </w:tr>
    </w:tbl>
    <w:p>
      <w:pPr>
        <w:pStyle w:val="Heading2"/>
        <w:spacing w:after="120" w:before="240"/>
      </w:pPr>
      <w:r>
        <w:rPr>
          <w:b/>
          <w:bCs/>
          <w:color w:val="1A1A1A"/>
          <w:sz w:val="22"/>
          <w:szCs w:val="22"/>
        </w:rPr>
        <w:t xml:space="preserve">2.3 Respaldo integral</w:t>
      </w:r>
    </w:p>
    <w:p>
      <w:pPr>
        <w:spacing w:after="140" w:line="276"/>
      </w:pPr>
      <w:r>
        <w:rPr>
          <w:color w:val="1A1A1A"/>
          <w:sz w:val="21"/>
          <w:szCs w:val="21"/>
        </w:rPr>
        <w:t xml:space="preserve">Adicionalmente se resguardó la base de datos completa (61 tablas): préstamos, pagos, mora, capital, centros, grupos, pagarés, movimientos y auditoría. Esto cubre a FOOAX ante cualquier requerimiento futuro, no solo el actual.</w:t>
      </w:r>
    </w:p>
    <w:p>
      <w:pPr>
        <w:pStyle w:val="Heading1"/>
        <w:spacing w:after="160" w:before="320"/>
      </w:pPr>
      <w:r>
        <w:rPr>
          <w:b/>
          <w:bCs/>
          <w:color w:val="324AB6"/>
          <w:sz w:val="26"/>
          <w:szCs w:val="26"/>
        </w:rPr>
        <w:t xml:space="preserve">3. Hallazgos sobre la entrega recibida</w:t>
      </w:r>
    </w:p>
    <w:p>
      <w:pPr>
        <w:pStyle w:val="Heading2"/>
        <w:spacing w:after="120" w:before="240"/>
      </w:pPr>
      <w:r>
        <w:rPr>
          <w:b/>
          <w:bCs/>
          <w:color w:val="1A1A1A"/>
          <w:sz w:val="22"/>
          <w:szCs w:val="22"/>
        </w:rPr>
        <w:t xml:space="preserve">3.1 La entrega no incluye los datos de la empresa</w:t>
      </w:r>
      <w:r>
        <w:rPr>
          <w:b/>
          <w:bCs/>
          <w:i/>
          <w:iCs/>
          <w:color w:val="324AB6"/>
          <w:sz w:val="18"/>
          <w:szCs w:val="18"/>
        </w:rPr>
        <w:t xml:space="preserve">   — crítico</w:t>
      </w:r>
    </w:p>
    <w:p>
      <w:pPr>
        <w:spacing w:after="140" w:line="276"/>
      </w:pPr>
      <w:r>
        <w:rPr>
          <w:color w:val="1A1A1A"/>
          <w:sz w:val="21"/>
          <w:szCs w:val="21"/>
        </w:rPr>
        <w:t xml:space="preserve">El repositorio entregado contiene la estructura de la base de datos, pero ningún dato de operación. La carpeta destinada a los respaldos está vacía, y la documentación del propio repositorio indica que la información de producción “se entrega por separado, por un canal acordado con la empresa”.</w:t>
      </w:r>
    </w:p>
    <w:p>
      <w:pPr>
        <w:spacing w:after="140" w:line="276"/>
      </w:pPr>
      <w:r>
        <w:rPr>
          <w:b/>
          <w:bCs/>
          <w:color w:val="1A1A1A"/>
          <w:sz w:val="21"/>
          <w:szCs w:val="21"/>
        </w:rPr>
        <w:t xml:space="preserve">Solicito confirmar si FOOAX recibió alguna vez ese archivo. Si no fue así, la entrega está incompleta en lo más importante: los datos son el activo de la empresa, el programa es solo la herramienta que los administra.</w:t>
      </w:r>
    </w:p>
    <w:p>
      <w:pPr>
        <w:spacing w:after="140" w:line="276"/>
      </w:pPr>
      <w:r>
        <w:rPr>
          <w:color w:val="1A1A1A"/>
          <w:sz w:val="21"/>
          <w:szCs w:val="21"/>
        </w:rPr>
        <w:t xml:space="preserve">De no haberse recibido, el respaldo que acabo de tomar es hoy la única copia de la información de FOOAX fuera del servidor del desarrollador.</w:t>
      </w:r>
    </w:p>
    <w:p>
      <w:pPr>
        <w:pStyle w:val="Heading2"/>
        <w:spacing w:after="120" w:before="240"/>
      </w:pPr>
      <w:r>
        <w:rPr>
          <w:b/>
          <w:bCs/>
          <w:color w:val="1A1A1A"/>
          <w:sz w:val="22"/>
          <w:szCs w:val="22"/>
        </w:rPr>
        <w:t xml:space="preserve">3.2 No existe historial de desarrollo</w:t>
      </w:r>
      <w:r>
        <w:rPr>
          <w:b/>
          <w:bCs/>
          <w:i/>
          <w:iCs/>
          <w:color w:val="324AB6"/>
          <w:sz w:val="18"/>
          <w:szCs w:val="18"/>
        </w:rPr>
        <w:t xml:space="preserve">   — importante</w:t>
      </w:r>
    </w:p>
    <w:p>
      <w:pPr>
        <w:spacing w:after="140" w:line="276"/>
      </w:pPr>
      <w:r>
        <w:rPr>
          <w:color w:val="1A1A1A"/>
          <w:sz w:val="21"/>
          <w:szCs w:val="21"/>
        </w:rPr>
        <w:t xml:space="preserve">El repositorio tiene únicamente 2 registros de cambios, ambos con fecha 8 de julio de 2026, el primero titulado “entrega inicial”.</w:t>
      </w:r>
    </w:p>
    <w:p>
      <w:pPr>
        <w:spacing w:after="140" w:line="276"/>
      </w:pPr>
      <w:r>
        <w:rPr>
          <w:color w:val="1A1A1A"/>
          <w:sz w:val="21"/>
          <w:szCs w:val="21"/>
        </w:rPr>
        <w:t xml:space="preserve">Esto significa que todo el trabajo realizado a lo largo del proyecto fue comprimido en un solo envío el día de la entrega. El historial real del desarrollo no fue transferido a FOOAX: quedó en el repositorio original del desarrollador.</w:t>
      </w:r>
    </w:p>
    <w:p>
      <w:pPr>
        <w:spacing w:after="140" w:line="276"/>
      </w:pPr>
      <w:r>
        <w:rPr>
          <w:color w:val="1A1A1A"/>
          <w:sz w:val="21"/>
          <w:szCs w:val="21"/>
        </w:rPr>
        <w:t xml:space="preserve">La consecuencia práctica es que la empresa no tiene forma de verificar qué se construyó, cuándo, ni en qué periodo — información relevante si en algún momento se requiere auditar el tiempo facturado o entender por qué ciertos módulos quedaron incompletos.</w:t>
      </w:r>
    </w:p>
    <w:p>
      <w:pPr>
        <w:pStyle w:val="Heading2"/>
        <w:spacing w:after="120" w:before="240"/>
      </w:pPr>
      <w:r>
        <w:rPr>
          <w:b/>
          <w:bCs/>
          <w:color w:val="1A1A1A"/>
          <w:sz w:val="22"/>
          <w:szCs w:val="22"/>
        </w:rPr>
        <w:t xml:space="preserve">3.3 La titularidad de las cuentas no está aclarada</w:t>
      </w:r>
      <w:r>
        <w:rPr>
          <w:b/>
          <w:bCs/>
          <w:i/>
          <w:iCs/>
          <w:color w:val="324AB6"/>
          <w:sz w:val="18"/>
          <w:szCs w:val="18"/>
        </w:rPr>
        <w:t xml:space="preserve">   — importante</w:t>
      </w:r>
    </w:p>
    <w:p>
      <w:pPr>
        <w:pStyle w:val="ListParagraph"/>
        <w:numPr>
          <w:ilvl w:val="0"/>
          <w:numId w:val="2"/>
        </w:numPr>
        <w:spacing w:after="100" w:line="276"/>
      </w:pPr>
      <w:r>
        <w:rPr>
          <w:sz w:val="21"/>
          <w:szCs w:val="21"/>
        </w:rPr>
        <w:t xml:space="preserve">La cuenta de GitHub donde está el código (sistemaFooax) fue creada el 7 de julio de 2026, un día después de la reunión en la que se solicitó la entrega de accesos.</w:t>
      </w:r>
    </w:p>
    <w:p>
      <w:pPr>
        <w:pStyle w:val="ListParagraph"/>
        <w:numPr>
          <w:ilvl w:val="0"/>
          <w:numId w:val="2"/>
        </w:numPr>
        <w:spacing w:after="100" w:line="276"/>
      </w:pPr>
      <w:r>
        <w:rPr>
          <w:sz w:val="21"/>
          <w:szCs w:val="21"/>
        </w:rPr>
        <w:t xml:space="preserve">No está confirmado si FOOAX posee el correo y la contraseña de esa cuenta, o si únicamente fue invitada como colaboradora.</w:t>
      </w:r>
    </w:p>
    <w:p>
      <w:pPr>
        <w:pStyle w:val="ListParagraph"/>
        <w:numPr>
          <w:ilvl w:val="0"/>
          <w:numId w:val="2"/>
        </w:numPr>
        <w:spacing w:after="100" w:line="276"/>
      </w:pPr>
      <w:r>
        <w:rPr>
          <w:sz w:val="21"/>
          <w:szCs w:val="21"/>
        </w:rPr>
        <w:t xml:space="preserve">Tampoco está confirmado si la cuenta de Railway (donde vive el sistema en operación y la base de datos) está a nombre de FOOAX o del desarrollador.</w:t>
      </w:r>
    </w:p>
    <w:p>
      <w:pPr>
        <w:spacing w:after="140" w:line="276"/>
      </w:pPr>
      <w:r>
        <w:rPr>
          <w:b/>
          <w:bCs/>
          <w:color w:val="1A1A1A"/>
          <w:sz w:val="21"/>
          <w:szCs w:val="21"/>
        </w:rPr>
        <w:t xml:space="preserve">Mientras esas dos cuentas no estén a nombre de la empresa, el acceso de FOOAX a su propio sistema depende de la voluntad de un tercero — que es justamente lo que originó la solicitud urgente de la Gerencia.</w:t>
      </w:r>
    </w:p>
    <w:p>
      <w:pPr>
        <w:pStyle w:val="Heading2"/>
        <w:spacing w:after="120" w:before="240"/>
      </w:pPr>
      <w:r>
        <w:rPr>
          <w:b/>
          <w:bCs/>
          <w:color w:val="1A1A1A"/>
          <w:sz w:val="22"/>
          <w:szCs w:val="22"/>
        </w:rPr>
        <w:t xml:space="preserve">3.4 Sin mantenimiento desde el 8 de julio</w:t>
      </w:r>
      <w:r>
        <w:rPr>
          <w:b/>
          <w:bCs/>
          <w:i/>
          <w:iCs/>
          <w:color w:val="324AB6"/>
          <w:sz w:val="18"/>
          <w:szCs w:val="18"/>
        </w:rPr>
        <w:t xml:space="preserve">   — a considerar</w:t>
      </w:r>
    </w:p>
    <w:p>
      <w:pPr>
        <w:spacing w:after="140" w:line="276"/>
      </w:pPr>
      <w:r>
        <w:rPr>
          <w:color w:val="1A1A1A"/>
          <w:sz w:val="21"/>
          <w:szCs w:val="21"/>
        </w:rPr>
        <w:t xml:space="preserve">No se registran cambios en el código desde esa fecha, pese a que el sistema continúa en operación con información real de las socias. Si surge una falla, hoy no hay nadie dando mantenimiento.</w:t>
      </w:r>
    </w:p>
    <w:p>
      <w:pPr>
        <w:pStyle w:val="Heading1"/>
        <w:spacing w:after="160" w:before="320"/>
      </w:pPr>
      <w:r>
        <w:rPr>
          <w:b/>
          <w:bCs/>
          <w:color w:val="324AB6"/>
          <w:sz w:val="26"/>
          <w:szCs w:val="26"/>
        </w:rPr>
        <w:t xml:space="preserve">4. Lo que sí está correctamente hecho</w:t>
      </w:r>
    </w:p>
    <w:p>
      <w:pPr>
        <w:spacing w:after="140" w:line="276"/>
      </w:pPr>
      <w:r>
        <w:rPr>
          <w:color w:val="1A1A1A"/>
          <w:sz w:val="21"/>
          <w:szCs w:val="21"/>
        </w:rPr>
        <w:t xml:space="preserve">Por objetividad, y porque conviene a FOOAX saberlo:</w:t>
      </w:r>
    </w:p>
    <w:p>
      <w:pPr>
        <w:pStyle w:val="ListParagraph"/>
        <w:numPr>
          <w:ilvl w:val="0"/>
          <w:numId w:val="2"/>
        </w:numPr>
        <w:spacing w:after="100" w:line="276"/>
      </w:pPr>
      <w:r>
        <w:rPr>
          <w:sz w:val="21"/>
          <w:szCs w:val="21"/>
        </w:rPr>
        <w:t xml:space="preserve">Las contraseñas de los usuarios están debidamente cifradas (algoritmo bcrypt). No están expuestas ni son legibles, ni siquiera para quien tenga acceso a la base.</w:t>
      </w:r>
    </w:p>
    <w:p>
      <w:pPr>
        <w:pStyle w:val="ListParagraph"/>
        <w:numPr>
          <w:ilvl w:val="0"/>
          <w:numId w:val="2"/>
        </w:numPr>
        <w:spacing w:after="100" w:line="276"/>
      </w:pPr>
      <w:r>
        <w:rPr>
          <w:sz w:val="21"/>
          <w:szCs w:val="21"/>
        </w:rPr>
        <w:t xml:space="preserve">Las credenciales del servidor no fueron expuestas en el código entregado; están correctamente excluidas.</w:t>
      </w:r>
    </w:p>
    <w:p>
      <w:pPr>
        <w:pStyle w:val="ListParagraph"/>
        <w:numPr>
          <w:ilvl w:val="0"/>
          <w:numId w:val="2"/>
        </w:numPr>
        <w:spacing w:after="100" w:line="276"/>
      </w:pPr>
      <w:r>
        <w:rPr>
          <w:sz w:val="21"/>
          <w:szCs w:val="21"/>
        </w:rPr>
        <w:t xml:space="preserve">La documentación técnica es amplia y de buena calidad: incluye el mapa de los módulos, las reglas financieras y el catálogo de servicios del sistema.</w:t>
      </w:r>
    </w:p>
    <w:p>
      <w:pPr>
        <w:pStyle w:val="ListParagraph"/>
        <w:numPr>
          <w:ilvl w:val="0"/>
          <w:numId w:val="2"/>
        </w:numPr>
        <w:spacing w:after="100" w:line="276"/>
      </w:pPr>
      <w:r>
        <w:rPr>
          <w:sz w:val="21"/>
          <w:szCs w:val="21"/>
        </w:rPr>
        <w:t xml:space="preserve">El sistema es un desarrollo real y a la medida, con lógica de negocio propia: préstamos grupales e individuales, mora automática, capital, pagarés y cerca de 30 reportes.</w:t>
      </w:r>
    </w:p>
    <w:p>
      <w:pPr>
        <w:spacing w:after="140" w:line="276"/>
      </w:pPr>
      <w:r>
        <w:rPr>
          <w:i/>
          <w:iCs/>
          <w:color w:val="1A1A1A"/>
          <w:sz w:val="21"/>
          <w:szCs w:val="21"/>
        </w:rPr>
        <w:t xml:space="preserve">Los hallazgos del apartado 3 se refieren a cómo se entregó el trabajo, no a la calidad técnica de lo construido.</w:t>
      </w:r>
    </w:p>
    <w:p>
      <w:pPr>
        <w:pStyle w:val="Heading1"/>
        <w:spacing w:after="160" w:before="320"/>
      </w:pPr>
      <w:r>
        <w:rPr>
          <w:b/>
          <w:bCs/>
          <w:color w:val="324AB6"/>
          <w:sz w:val="26"/>
          <w:szCs w:val="26"/>
        </w:rPr>
        <w:t xml:space="preserve">5. Observaciones sobre la información resguardada</w:t>
      </w:r>
    </w:p>
    <w:p>
      <w:pPr>
        <w:spacing w:after="140" w:line="276"/>
      </w:pPr>
      <w:r>
        <w:rPr>
          <w:color w:val="1A1A1A"/>
          <w:sz w:val="21"/>
          <w:szCs w:val="21"/>
        </w:rPr>
        <w:t xml:space="preserve">Dos precisiones para que la Gerencia interprete correctamente los archivos:</w:t>
      </w:r>
    </w:p>
    <w:p>
      <w:pPr>
        <w:spacing w:after="140" w:line="276"/>
      </w:pPr>
      <w:r>
        <w:rPr>
          <w:color w:val="1A1A1A"/>
          <w:sz w:val="21"/>
          <w:szCs w:val="21"/>
        </w:rPr>
        <w:t xml:space="preserve">1.  La sección de “muebles” del expediente está vacía (0 registros). No se trata de información perdida: esa parte del formato de entrevista nunca se capturó en el sistema.</w:t>
      </w:r>
    </w:p>
    <w:p>
      <w:pPr>
        <w:spacing w:after="140" w:line="276"/>
      </w:pPr>
      <w:r>
        <w:rPr>
          <w:color w:val="1A1A1A"/>
          <w:sz w:val="21"/>
          <w:szCs w:val="21"/>
        </w:rPr>
        <w:t xml:space="preserve">2.  El registro de garantías inicia en abril de 2026. Verifiqué el resto de la base y sí contiene historia desde febrero de 2024, por lo que no hay pérdida de datos: el módulo de garantías simplemente comenzó a operar en abril, lo cual coincide con el cambio de figura de cooperativa a financiera.</w:t>
      </w:r>
    </w:p>
    <w:p>
      <w:pPr>
        <w:pStyle w:val="Heading1"/>
        <w:spacing w:after="160" w:before="320"/>
      </w:pPr>
      <w:r>
        <w:rPr>
          <w:b/>
          <w:bCs/>
          <w:color w:val="324AB6"/>
          <w:sz w:val="26"/>
          <w:szCs w:val="26"/>
        </w:rPr>
        <w:t xml:space="preserve">6. Lo que solicito a Dirección</w:t>
      </w:r>
    </w:p>
    <w:tbl>
      <w:tblPr>
        <w:tblW w:type="dxa" w:w="9360"/>
        <w:tblBorders>
          <w:top w:val="single" w:color="C8CEDA" w:sz="1"/>
          <w:left w:val="single" w:color="C8CEDA" w:sz="1"/>
          <w:bottom w:val="single" w:color="C8CEDA" w:sz="1"/>
          <w:right w:val="single" w:color="C8CEDA" w:sz="1"/>
          <w:insideH w:val="single" w:color="C8CEDA" w:sz="1"/>
          <w:insideV w:val="single" w:color="C8CEDA" w:sz="1"/>
        </w:tblBorders>
      </w:tblPr>
      <w:tblGrid>
        <w:gridCol w:w="620"/>
        <w:gridCol w:w="6940"/>
        <w:gridCol w:w="1800"/>
      </w:tblGrid>
      <w:tr>
        <w:trPr>
          <w:tblHeader/>
        </w:trPr>
        <w:tc>
          <w:tcPr>
            <w:tcW w:type="dxa" w:w="620"/>
            <w:shd w:fill="324AB6" w:color="auto" w:val="clear"/>
            <w:tcMar>
              <w:top w:type="dxa" w:w="70"/>
              <w:left w:type="dxa" w:w="110"/>
              <w:bottom w:type="dxa" w:w="70"/>
              <w:right w:type="dxa" w:w="110"/>
            </w:tcMar>
          </w:tcPr>
          <w:p>
            <w:pPr>
              <w:spacing w:after="0" w:line="260"/>
              <w:jc w:val="center"/>
            </w:pPr>
            <w:r>
              <w:rPr>
                <w:b/>
                <w:bCs/>
                <w:color w:val="FFFFFF"/>
                <w:sz w:val="20"/>
                <w:szCs w:val="20"/>
              </w:rPr>
              <w:t xml:space="preserve">#</w:t>
            </w:r>
          </w:p>
        </w:tc>
        <w:tc>
          <w:tcPr>
            <w:tcW w:type="dxa" w:w="6940"/>
            <w:shd w:fill="324AB6" w:color="auto" w:val="clear"/>
            <w:tcMar>
              <w:top w:type="dxa" w:w="70"/>
              <w:left w:type="dxa" w:w="110"/>
              <w:bottom w:type="dxa" w:w="70"/>
              <w:right w:type="dxa" w:w="110"/>
            </w:tcMar>
          </w:tcPr>
          <w:p>
            <w:pPr>
              <w:spacing w:after="0" w:line="260"/>
            </w:pPr>
            <w:r>
              <w:rPr>
                <w:b/>
                <w:bCs/>
                <w:color w:val="FFFFFF"/>
                <w:sz w:val="20"/>
                <w:szCs w:val="20"/>
              </w:rPr>
              <w:t xml:space="preserve">Acción</w:t>
            </w:r>
          </w:p>
        </w:tc>
        <w:tc>
          <w:tcPr>
            <w:tcW w:type="dxa" w:w="1800"/>
            <w:shd w:fill="324AB6" w:color="auto" w:val="clear"/>
            <w:tcMar>
              <w:top w:type="dxa" w:w="70"/>
              <w:left w:type="dxa" w:w="110"/>
              <w:bottom w:type="dxa" w:w="70"/>
              <w:right w:type="dxa" w:w="110"/>
            </w:tcMar>
          </w:tcPr>
          <w:p>
            <w:pPr>
              <w:spacing w:after="0" w:line="260"/>
              <w:jc w:val="center"/>
            </w:pPr>
            <w:r>
              <w:rPr>
                <w:b/>
                <w:bCs/>
                <w:color w:val="FFFFFF"/>
                <w:sz w:val="20"/>
                <w:szCs w:val="20"/>
              </w:rPr>
              <w:t xml:space="preserve">Urgencia</w:t>
            </w:r>
          </w:p>
        </w:tc>
      </w:tr>
      <w:tr>
        <w:tc>
          <w:tcPr>
            <w:tcW w:type="dxa" w:w="620"/>
            <w:tcMar>
              <w:top w:type="dxa" w:w="70"/>
              <w:left w:type="dxa" w:w="110"/>
              <w:bottom w:type="dxa" w:w="70"/>
              <w:right w:type="dxa" w:w="110"/>
            </w:tcMar>
          </w:tcPr>
          <w:p>
            <w:pPr>
              <w:spacing w:after="0" w:line="260"/>
              <w:jc w:val="center"/>
            </w:pPr>
            <w:r>
              <w:rPr>
                <w:color w:val="1A1A1A"/>
                <w:sz w:val="20"/>
                <w:szCs w:val="20"/>
              </w:rPr>
              <w:t xml:space="preserve">1</w:t>
            </w:r>
          </w:p>
        </w:tc>
        <w:tc>
          <w:tcPr>
            <w:tcW w:type="dxa" w:w="694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Confirmar si FOOAX recibió el archivo de datos de producción por el “canal separado” que menciona la entrega</w:t>
            </w:r>
          </w:p>
        </w:tc>
        <w:tc>
          <w:tcPr>
            <w:tcW w:type="dxa" w:w="1800"/>
            <w:tcMar>
              <w:top w:type="dxa" w:w="70"/>
              <w:left w:type="dxa" w:w="110"/>
              <w:bottom w:type="dxa" w:w="70"/>
              <w:right w:type="dxa" w:w="110"/>
            </w:tcMar>
          </w:tcPr>
          <w:p>
            <w:pPr>
              <w:spacing w:after="0" w:line="260"/>
              <w:jc w:val="center"/>
            </w:pPr>
            <w:r>
              <w:rPr>
                <w:b/>
                <w:bCs/>
                <w:color w:val="1A1A1A"/>
                <w:sz w:val="20"/>
                <w:szCs w:val="20"/>
              </w:rPr>
              <w:t xml:space="preserve">Inmediata</w:t>
            </w:r>
          </w:p>
        </w:tc>
      </w:tr>
      <w:tr>
        <w:tc>
          <w:tcPr>
            <w:tcW w:type="dxa" w:w="620"/>
            <w:tcMar>
              <w:top w:type="dxa" w:w="70"/>
              <w:left w:type="dxa" w:w="110"/>
              <w:bottom w:type="dxa" w:w="70"/>
              <w:right w:type="dxa" w:w="110"/>
            </w:tcMar>
          </w:tcPr>
          <w:p>
            <w:pPr>
              <w:spacing w:after="0" w:line="260"/>
              <w:jc w:val="center"/>
            </w:pPr>
            <w:r>
              <w:rPr>
                <w:color w:val="1A1A1A"/>
                <w:sz w:val="20"/>
                <w:szCs w:val="20"/>
              </w:rPr>
              <w:t xml:space="preserve">2</w:t>
            </w:r>
          </w:p>
        </w:tc>
        <w:tc>
          <w:tcPr>
            <w:tcW w:type="dxa" w:w="694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Confirmar si FOOAX posee usuario y contraseña de la cuenta de GitHub sistemaFooax, o solo acceso como invitada</w:t>
            </w:r>
          </w:p>
        </w:tc>
        <w:tc>
          <w:tcPr>
            <w:tcW w:type="dxa" w:w="1800"/>
            <w:tcMar>
              <w:top w:type="dxa" w:w="70"/>
              <w:left w:type="dxa" w:w="110"/>
              <w:bottom w:type="dxa" w:w="70"/>
              <w:right w:type="dxa" w:w="110"/>
            </w:tcMar>
          </w:tcPr>
          <w:p>
            <w:pPr>
              <w:spacing w:after="0" w:line="260"/>
              <w:jc w:val="center"/>
            </w:pPr>
            <w:r>
              <w:rPr>
                <w:b/>
                <w:bCs/>
                <w:color w:val="1A1A1A"/>
                <w:sz w:val="20"/>
                <w:szCs w:val="20"/>
              </w:rPr>
              <w:t xml:space="preserve">Inmediata</w:t>
            </w:r>
          </w:p>
        </w:tc>
      </w:tr>
      <w:tr>
        <w:tc>
          <w:tcPr>
            <w:tcW w:type="dxa" w:w="620"/>
            <w:tcMar>
              <w:top w:type="dxa" w:w="70"/>
              <w:left w:type="dxa" w:w="110"/>
              <w:bottom w:type="dxa" w:w="70"/>
              <w:right w:type="dxa" w:w="110"/>
            </w:tcMar>
          </w:tcPr>
          <w:p>
            <w:pPr>
              <w:spacing w:after="0" w:line="260"/>
              <w:jc w:val="center"/>
            </w:pPr>
            <w:r>
              <w:rPr>
                <w:color w:val="1A1A1A"/>
                <w:sz w:val="20"/>
                <w:szCs w:val="20"/>
              </w:rPr>
              <w:t xml:space="preserve">3</w:t>
            </w:r>
          </w:p>
        </w:tc>
        <w:tc>
          <w:tcPr>
            <w:tcW w:type="dxa" w:w="694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Confirmar la titularidad de la cuenta de Railway y, de no estar a nombre de FOOAX, gestionar su transferencia</w:t>
            </w:r>
          </w:p>
        </w:tc>
        <w:tc>
          <w:tcPr>
            <w:tcW w:type="dxa" w:w="1800"/>
            <w:tcMar>
              <w:top w:type="dxa" w:w="70"/>
              <w:left w:type="dxa" w:w="110"/>
              <w:bottom w:type="dxa" w:w="70"/>
              <w:right w:type="dxa" w:w="110"/>
            </w:tcMar>
          </w:tcPr>
          <w:p>
            <w:pPr>
              <w:spacing w:after="0" w:line="260"/>
              <w:jc w:val="center"/>
            </w:pPr>
            <w:r>
              <w:rPr>
                <w:b/>
                <w:bCs/>
                <w:color w:val="1A1A1A"/>
                <w:sz w:val="20"/>
                <w:szCs w:val="20"/>
              </w:rPr>
              <w:t xml:space="preserve">Inmediata</w:t>
            </w:r>
          </w:p>
        </w:tc>
      </w:tr>
      <w:tr>
        <w:tc>
          <w:tcPr>
            <w:tcW w:type="dxa" w:w="620"/>
            <w:tcMar>
              <w:top w:type="dxa" w:w="70"/>
              <w:left w:type="dxa" w:w="110"/>
              <w:bottom w:type="dxa" w:w="70"/>
              <w:right w:type="dxa" w:w="110"/>
            </w:tcMar>
          </w:tcPr>
          <w:p>
            <w:pPr>
              <w:spacing w:after="0" w:line="260"/>
              <w:jc w:val="center"/>
            </w:pPr>
            <w:r>
              <w:rPr>
                <w:color w:val="1A1A1A"/>
                <w:sz w:val="20"/>
                <w:szCs w:val="20"/>
              </w:rPr>
              <w:t xml:space="preserve">4</w:t>
            </w:r>
          </w:p>
        </w:tc>
        <w:tc>
          <w:tcPr>
            <w:tcW w:type="dxa" w:w="694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Solicitar formalmente al desarrollador el respaldo completo de la base de datos y el historial de desarrollo, como cierre de la entrega</w:t>
            </w:r>
          </w:p>
        </w:tc>
        <w:tc>
          <w:tcPr>
            <w:tcW w:type="dxa" w:w="1800"/>
            <w:tcMar>
              <w:top w:type="dxa" w:w="70"/>
              <w:left w:type="dxa" w:w="110"/>
              <w:bottom w:type="dxa" w:w="70"/>
              <w:right w:type="dxa" w:w="110"/>
            </w:tcMar>
          </w:tcPr>
          <w:p>
            <w:pPr>
              <w:spacing w:after="0" w:line="260"/>
              <w:jc w:val="center"/>
            </w:pPr>
            <w:r>
              <w:rPr>
                <w:color w:val="1A1A1A"/>
                <w:sz w:val="20"/>
                <w:szCs w:val="20"/>
              </w:rPr>
              <w:t xml:space="preserve">Alta</w:t>
            </w:r>
          </w:p>
        </w:tc>
      </w:tr>
      <w:tr>
        <w:tc>
          <w:tcPr>
            <w:tcW w:type="dxa" w:w="620"/>
            <w:tcMar>
              <w:top w:type="dxa" w:w="70"/>
              <w:left w:type="dxa" w:w="110"/>
              <w:bottom w:type="dxa" w:w="70"/>
              <w:right w:type="dxa" w:w="110"/>
            </w:tcMar>
          </w:tcPr>
          <w:p>
            <w:pPr>
              <w:spacing w:after="0" w:line="260"/>
              <w:jc w:val="center"/>
            </w:pPr>
            <w:r>
              <w:rPr>
                <w:color w:val="1A1A1A"/>
                <w:sz w:val="20"/>
                <w:szCs w:val="20"/>
              </w:rPr>
              <w:t xml:space="preserve">5</w:t>
            </w:r>
          </w:p>
        </w:tc>
        <w:tc>
          <w:tcPr>
            <w:tcW w:type="dxa" w:w="694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Autorizar el resguardo de una segunda copia del respaldo fuera de mi equipo (Drive de FOOAX o medio físico bajo custodia de la empresa)</w:t>
            </w:r>
          </w:p>
        </w:tc>
        <w:tc>
          <w:tcPr>
            <w:tcW w:type="dxa" w:w="1800"/>
            <w:tcMar>
              <w:top w:type="dxa" w:w="70"/>
              <w:left w:type="dxa" w:w="110"/>
              <w:bottom w:type="dxa" w:w="70"/>
              <w:right w:type="dxa" w:w="110"/>
            </w:tcMar>
          </w:tcPr>
          <w:p>
            <w:pPr>
              <w:spacing w:after="0" w:line="260"/>
              <w:jc w:val="center"/>
            </w:pPr>
            <w:r>
              <w:rPr>
                <w:color w:val="1A1A1A"/>
                <w:sz w:val="20"/>
                <w:szCs w:val="20"/>
              </w:rPr>
              <w:t xml:space="preserve">Alta</w:t>
            </w:r>
          </w:p>
        </w:tc>
      </w:tr>
      <w:tr>
        <w:tc>
          <w:tcPr>
            <w:tcW w:type="dxa" w:w="620"/>
            <w:tcMar>
              <w:top w:type="dxa" w:w="70"/>
              <w:left w:type="dxa" w:w="110"/>
              <w:bottom w:type="dxa" w:w="70"/>
              <w:right w:type="dxa" w:w="110"/>
            </w:tcMar>
          </w:tcPr>
          <w:p>
            <w:pPr>
              <w:spacing w:after="0" w:line="260"/>
              <w:jc w:val="center"/>
            </w:pPr>
            <w:r>
              <w:rPr>
                <w:color w:val="1A1A1A"/>
                <w:sz w:val="20"/>
                <w:szCs w:val="20"/>
              </w:rPr>
              <w:t xml:space="preserve">6</w:t>
            </w:r>
          </w:p>
        </w:tc>
        <w:tc>
          <w:tcPr>
            <w:tcW w:type="dxa" w:w="6940"/>
            <w:tcMar>
              <w:top w:type="dxa" w:w="70"/>
              <w:left w:type="dxa" w:w="110"/>
              <w:bottom w:type="dxa" w:w="70"/>
              <w:right w:type="dxa" w:w="110"/>
            </w:tcMar>
          </w:tcPr>
          <w:p>
            <w:pPr>
              <w:spacing w:after="0" w:line="260"/>
            </w:pPr>
            <w:r>
              <w:rPr>
                <w:b w:val="function bold() { [native code] }"/>
                <w:bCs w:val="function bold() { [native code] }"/>
                <w:color w:val="1A1A1A"/>
                <w:sz w:val="20"/>
                <w:szCs w:val="20"/>
              </w:rPr>
              <w:t xml:space="preserve">Que la Ing. Monserrat confirme cuál pantalla corresponde a lo que la Gerencia denomina “entrevista de crédito”, para validar que lo entregado es exactamente lo requerido</w:t>
            </w:r>
          </w:p>
        </w:tc>
        <w:tc>
          <w:tcPr>
            <w:tcW w:type="dxa" w:w="1800"/>
            <w:tcMar>
              <w:top w:type="dxa" w:w="70"/>
              <w:left w:type="dxa" w:w="110"/>
              <w:bottom w:type="dxa" w:w="70"/>
              <w:right w:type="dxa" w:w="110"/>
            </w:tcMar>
          </w:tcPr>
          <w:p>
            <w:pPr>
              <w:spacing w:after="0" w:line="260"/>
              <w:jc w:val="center"/>
            </w:pPr>
            <w:r>
              <w:rPr>
                <w:color w:val="1A1A1A"/>
                <w:sz w:val="20"/>
                <w:szCs w:val="20"/>
              </w:rPr>
              <w:t xml:space="preserve">Media</w:t>
            </w:r>
          </w:p>
        </w:tc>
      </w:tr>
    </w:tbl>
    <w:p>
      <w:pPr>
        <w:pStyle w:val="Heading1"/>
        <w:spacing w:after="160" w:before="320"/>
      </w:pPr>
      <w:r>
        <w:rPr>
          <w:b/>
          <w:bCs/>
          <w:color w:val="324AB6"/>
          <w:sz w:val="26"/>
          <w:szCs w:val="26"/>
        </w:rPr>
        <w:t xml:space="preserve">7. Conclusión</w:t>
      </w:r>
    </w:p>
    <w:p>
      <w:pPr>
        <w:spacing w:after="140" w:line="276"/>
      </w:pPr>
      <w:r>
        <w:rPr>
          <w:b/>
          <w:bCs/>
          <w:color w:val="1A1A1A"/>
          <w:sz w:val="21"/>
          <w:szCs w:val="21"/>
        </w:rPr>
        <w:t xml:space="preserve">La información de FOOAX está a salvo. El objetivo de la solicitud urgente se cumplió y la empresa ya no depende de que el enlace siga disponible.</w:t>
      </w:r>
    </w:p>
    <w:p>
      <w:pPr>
        <w:spacing w:after="140" w:line="276"/>
      </w:pPr>
      <w:r>
        <w:rPr>
          <w:color w:val="1A1A1A"/>
          <w:sz w:val="21"/>
          <w:szCs w:val="21"/>
        </w:rPr>
        <w:t xml:space="preserve">Lo que queda pendiente no es técnico sino de titularidad: mientras las cuentas de GitHub y Railway no estén a nombre de FOOAX, la empresa seguirá operando sobre una infraestructura que no controla. Recomiendo resolver ese punto antes de cualquier otro paso.</w:t>
      </w:r>
    </w:p>
    <w:p>
      <w:pPr>
        <w:spacing w:after="140" w:line="276"/>
      </w:pPr>
      <w:r>
        <w:rPr>
          <w:color w:val="1A1A1A"/>
          <w:sz w:val="21"/>
          <w:szCs w:val="21"/>
        </w:rPr>
        <w:t xml:space="preserve">Quedo atenta a sus instrucciones.</w:t>
      </w:r>
    </w:p>
    <w:p>
      <w:pPr>
        <w:spacing w:after="0" w:before="560"/>
        <w:jc w:val="center"/>
      </w:pPr>
      <w:r>
        <w:rPr>
          <w:sz w:val="21"/>
          <w:szCs w:val="21"/>
        </w:rPr>
        <w:t xml:space="preserve">_______________________________</w:t>
      </w:r>
    </w:p>
    <w:p>
      <w:pPr>
        <w:spacing w:before="80"/>
        <w:jc w:val="center"/>
      </w:pPr>
      <w:r>
        <w:rPr>
          <w:b/>
          <w:bCs/>
          <w:sz w:val="21"/>
          <w:szCs w:val="21"/>
        </w:rPr>
        <w:t xml:space="preserve">Ing. Karina Matus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a Dirección — Rescate ESHLIDER</dc:title>
  <dc:creator>Ing. Karina Matus</dc:creator>
  <dc:description>Resultado del rescate de información del sistema ESHLIDER y hallazgos sobre la entrega recibida</dc:description>
  <cp:lastModifiedBy>Un-named</cp:lastModifiedBy>
  <cp:revision>1</cp:revision>
  <dcterms:created xsi:type="dcterms:W3CDTF">2026-07-25T05:56:34.141Z</dcterms:created>
  <dcterms:modified xsi:type="dcterms:W3CDTF">2026-07-25T05:56:34.147Z</dcterms:modified>
</cp:coreProperties>
</file>

<file path=docProps/custom.xml><?xml version="1.0" encoding="utf-8"?>
<Properties xmlns="http://schemas.openxmlformats.org/officeDocument/2006/custom-properties" xmlns:vt="http://schemas.openxmlformats.org/officeDocument/2006/docPropsVTypes"/>
</file>